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2D4D95" w14:textId="7676A9CF" w:rsidR="00C27ACA" w:rsidRDefault="00C27ACA" w:rsidP="00C27ACA">
      <w:pPr>
        <w:tabs>
          <w:tab w:val="left" w:pos="1812"/>
        </w:tabs>
      </w:pPr>
    </w:p>
    <w:p w14:paraId="743382D7" w14:textId="77777777" w:rsidR="00C27ACA" w:rsidRDefault="00C27ACA" w:rsidP="005F5B01"/>
    <w:p w14:paraId="772F77B3" w14:textId="77777777" w:rsidR="00C27ACA" w:rsidRDefault="00C27ACA" w:rsidP="00C27ACA">
      <w:pPr>
        <w:jc w:val="center"/>
      </w:pPr>
      <w:r>
        <w:rPr>
          <w:noProof/>
          <w:lang w:eastAsia="en-GB"/>
        </w:rPr>
        <w:drawing>
          <wp:inline distT="0" distB="0" distL="0" distR="0" wp14:anchorId="3A4F42F7" wp14:editId="0DC8BDB9">
            <wp:extent cx="3348517" cy="1552575"/>
            <wp:effectExtent l="19050" t="0" r="4283" b="0"/>
            <wp:docPr id="1" name="Picture 0" descr="ICB logo col_v2_large -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B logo col_v2_large - Copy.jpg"/>
                    <pic:cNvPicPr/>
                  </pic:nvPicPr>
                  <pic:blipFill>
                    <a:blip r:embed="rId5" cstate="print"/>
                    <a:stretch>
                      <a:fillRect/>
                    </a:stretch>
                  </pic:blipFill>
                  <pic:spPr>
                    <a:xfrm>
                      <a:off x="0" y="0"/>
                      <a:ext cx="3348517" cy="1552575"/>
                    </a:xfrm>
                    <a:prstGeom prst="rect">
                      <a:avLst/>
                    </a:prstGeom>
                  </pic:spPr>
                </pic:pic>
              </a:graphicData>
            </a:graphic>
          </wp:inline>
        </w:drawing>
      </w:r>
    </w:p>
    <w:p w14:paraId="73100922" w14:textId="77777777" w:rsidR="00C27ACA" w:rsidRDefault="00C27ACA" w:rsidP="00C27ACA">
      <w:pPr>
        <w:jc w:val="center"/>
      </w:pPr>
    </w:p>
    <w:p w14:paraId="493B47F9" w14:textId="615C06FA" w:rsidR="00C27ACA" w:rsidRPr="00181B2D" w:rsidRDefault="00C27ACA" w:rsidP="00C27ACA">
      <w:pPr>
        <w:jc w:val="center"/>
        <w:rPr>
          <w:rFonts w:ascii="Arial" w:hAnsi="Arial" w:cs="Arial"/>
          <w:b/>
          <w:u w:val="single"/>
        </w:rPr>
      </w:pPr>
      <w:r w:rsidRPr="00181B2D">
        <w:rPr>
          <w:rFonts w:ascii="Arial" w:hAnsi="Arial" w:cs="Arial"/>
          <w:b/>
          <w:u w:val="single"/>
        </w:rPr>
        <w:t xml:space="preserve">ICB Whole </w:t>
      </w:r>
      <w:r w:rsidR="004C7F23">
        <w:rPr>
          <w:rFonts w:ascii="Arial" w:hAnsi="Arial" w:cs="Arial"/>
          <w:b/>
          <w:u w:val="single"/>
        </w:rPr>
        <w:t>Practice</w:t>
      </w:r>
      <w:r w:rsidRPr="00181B2D">
        <w:rPr>
          <w:rFonts w:ascii="Arial" w:hAnsi="Arial" w:cs="Arial"/>
          <w:b/>
          <w:u w:val="single"/>
        </w:rPr>
        <w:t xml:space="preserve"> Risk Assessment Guidance</w:t>
      </w:r>
    </w:p>
    <w:p w14:paraId="02450795" w14:textId="77777777" w:rsidR="00C27ACA" w:rsidRPr="002B5128" w:rsidRDefault="00C27ACA" w:rsidP="00C27ACA">
      <w:pPr>
        <w:pStyle w:val="NormalWeb"/>
        <w:rPr>
          <w:rFonts w:ascii="Arial" w:hAnsi="Arial"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B5128">
        <w:rPr>
          <w:rFonts w:ascii="Arial" w:hAnsi="Arial" w:cs="Arial"/>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1.BACKGROUND </w:t>
      </w:r>
    </w:p>
    <w:p w14:paraId="2D4096BA" w14:textId="77777777" w:rsidR="00C27ACA" w:rsidRPr="002B5128" w:rsidRDefault="00C27ACA" w:rsidP="00C27ACA">
      <w:pPr>
        <w:pStyle w:val="NormalWeb"/>
        <w:rPr>
          <w:rFonts w:ascii="Arial" w:hAnsi="Arial" w:cs="Arial"/>
          <w:sz w:val="22"/>
          <w:szCs w:val="22"/>
        </w:rPr>
      </w:pPr>
      <w:r w:rsidRPr="002B5128">
        <w:rPr>
          <w:rFonts w:ascii="Arial" w:hAnsi="Arial" w:cs="Arial"/>
          <w:sz w:val="22"/>
          <w:szCs w:val="22"/>
        </w:rPr>
        <w:t xml:space="preserve">The Money Laundering, Terrorist Financing and Transfer of Funds (Information on the Payer) Regulations 2017 came into effect on 26 June 2017 and will be referred to as MLR 2017 throughout this guidance. Any reference in this publication to money laundering will also refer to terrorist financing. </w:t>
      </w:r>
    </w:p>
    <w:p w14:paraId="21E32EDF" w14:textId="36C8922C" w:rsidR="00C27ACA" w:rsidRDefault="00C27ACA" w:rsidP="00C27ACA">
      <w:pPr>
        <w:pStyle w:val="NormalWeb"/>
        <w:rPr>
          <w:rFonts w:ascii="Arial" w:hAnsi="Arial" w:cs="Arial"/>
          <w:sz w:val="22"/>
          <w:szCs w:val="22"/>
        </w:rPr>
      </w:pPr>
      <w:r w:rsidRPr="002B5128">
        <w:rPr>
          <w:rFonts w:ascii="Arial" w:hAnsi="Arial" w:cs="Arial"/>
          <w:sz w:val="22"/>
          <w:szCs w:val="22"/>
        </w:rPr>
        <w:t xml:space="preserve">Regulation 18 (1) of MLR 2017 requires every </w:t>
      </w:r>
      <w:r w:rsidR="004C7F23" w:rsidRPr="002B5128">
        <w:rPr>
          <w:rFonts w:ascii="Arial" w:hAnsi="Arial" w:cs="Arial"/>
          <w:sz w:val="22"/>
          <w:szCs w:val="22"/>
        </w:rPr>
        <w:t>practice</w:t>
      </w:r>
      <w:r w:rsidRPr="002B5128">
        <w:rPr>
          <w:rFonts w:ascii="Arial" w:hAnsi="Arial" w:cs="Arial"/>
          <w:sz w:val="22"/>
          <w:szCs w:val="22"/>
        </w:rPr>
        <w:t xml:space="preserve"> providing </w:t>
      </w:r>
      <w:r w:rsidR="00AF28D3" w:rsidRPr="002B5128">
        <w:rPr>
          <w:rFonts w:ascii="Arial" w:hAnsi="Arial" w:cs="Arial"/>
          <w:sz w:val="22"/>
          <w:szCs w:val="22"/>
        </w:rPr>
        <w:t xml:space="preserve">external </w:t>
      </w:r>
      <w:r w:rsidRPr="002B5128">
        <w:rPr>
          <w:rFonts w:ascii="Arial" w:hAnsi="Arial" w:cs="Arial"/>
          <w:sz w:val="22"/>
          <w:szCs w:val="22"/>
        </w:rPr>
        <w:t>accountancy</w:t>
      </w:r>
      <w:r w:rsidR="00AF28D3" w:rsidRPr="002B5128">
        <w:rPr>
          <w:rFonts w:ascii="Arial" w:hAnsi="Arial" w:cs="Arial"/>
          <w:sz w:val="22"/>
          <w:szCs w:val="22"/>
        </w:rPr>
        <w:t xml:space="preserve"> services and</w:t>
      </w:r>
      <w:r w:rsidRPr="002B5128">
        <w:rPr>
          <w:rFonts w:ascii="Arial" w:hAnsi="Arial" w:cs="Arial"/>
          <w:sz w:val="22"/>
          <w:szCs w:val="22"/>
        </w:rPr>
        <w:t xml:space="preserve"> trust </w:t>
      </w:r>
      <w:r w:rsidR="00AF28D3" w:rsidRPr="002B5128">
        <w:rPr>
          <w:rFonts w:ascii="Arial" w:hAnsi="Arial" w:cs="Arial"/>
          <w:sz w:val="22"/>
          <w:szCs w:val="22"/>
        </w:rPr>
        <w:t>and</w:t>
      </w:r>
      <w:r w:rsidRPr="002B5128">
        <w:rPr>
          <w:rFonts w:ascii="Arial" w:hAnsi="Arial" w:cs="Arial"/>
          <w:sz w:val="22"/>
          <w:szCs w:val="22"/>
        </w:rPr>
        <w:t xml:space="preserve"> company services (TCSP) to assess the money laundering risk impacting it. </w:t>
      </w:r>
    </w:p>
    <w:p w14:paraId="479C83B1" w14:textId="69F68601" w:rsidR="002B5128" w:rsidRDefault="002B5128" w:rsidP="00C27ACA">
      <w:pPr>
        <w:pStyle w:val="NormalWeb"/>
        <w:rPr>
          <w:rFonts w:ascii="Arial" w:hAnsi="Arial" w:cs="Arial"/>
          <w:sz w:val="22"/>
          <w:szCs w:val="22"/>
        </w:rPr>
      </w:pPr>
      <w:r>
        <w:rPr>
          <w:rFonts w:ascii="Arial" w:hAnsi="Arial" w:cs="Arial"/>
          <w:sz w:val="22"/>
          <w:szCs w:val="22"/>
        </w:rPr>
        <w:t>When considering a risk-based approach to AML compliance a practice should look at what is the possibility that it</w:t>
      </w:r>
      <w:r w:rsidR="00364CBF">
        <w:rPr>
          <w:rFonts w:ascii="Arial" w:hAnsi="Arial" w:cs="Arial"/>
          <w:sz w:val="22"/>
          <w:szCs w:val="22"/>
        </w:rPr>
        <w:t xml:space="preserve"> could be:</w:t>
      </w:r>
    </w:p>
    <w:p w14:paraId="6B826EC4" w14:textId="09A6BEAF" w:rsidR="00364CBF" w:rsidRDefault="002B5128" w:rsidP="002B5128">
      <w:pPr>
        <w:pStyle w:val="ListParagraph"/>
        <w:numPr>
          <w:ilvl w:val="0"/>
          <w:numId w:val="6"/>
        </w:numPr>
        <w:rPr>
          <w:rFonts w:ascii="Arial" w:eastAsia="Times New Roman" w:hAnsi="Arial" w:cs="Arial"/>
          <w:sz w:val="22"/>
          <w:szCs w:val="22"/>
          <w:lang w:eastAsia="en-GB"/>
        </w:rPr>
      </w:pPr>
      <w:r w:rsidRPr="00364CBF">
        <w:rPr>
          <w:rFonts w:ascii="Arial" w:eastAsia="Times New Roman" w:hAnsi="Arial" w:cs="Arial"/>
          <w:sz w:val="22"/>
          <w:szCs w:val="22"/>
          <w:lang w:eastAsia="en-GB"/>
        </w:rPr>
        <w:t>Be used to launder money</w:t>
      </w:r>
      <w:r w:rsidR="00364CBF">
        <w:rPr>
          <w:rFonts w:ascii="Arial" w:eastAsia="Times New Roman" w:hAnsi="Arial" w:cs="Arial"/>
          <w:sz w:val="22"/>
          <w:szCs w:val="22"/>
          <w:lang w:eastAsia="en-GB"/>
        </w:rPr>
        <w:t>.</w:t>
      </w:r>
      <w:r w:rsidRPr="00364CBF">
        <w:rPr>
          <w:rFonts w:ascii="Arial" w:eastAsia="Times New Roman" w:hAnsi="Arial" w:cs="Arial"/>
          <w:sz w:val="22"/>
          <w:szCs w:val="22"/>
          <w:lang w:eastAsia="en-GB"/>
        </w:rPr>
        <w:t xml:space="preserve"> </w:t>
      </w:r>
    </w:p>
    <w:p w14:paraId="65B079BC" w14:textId="19A3FFEE" w:rsidR="00364CBF" w:rsidRDefault="002B5128" w:rsidP="002B5128">
      <w:pPr>
        <w:pStyle w:val="ListParagraph"/>
        <w:numPr>
          <w:ilvl w:val="0"/>
          <w:numId w:val="6"/>
        </w:numPr>
        <w:rPr>
          <w:rFonts w:ascii="Arial" w:eastAsia="Times New Roman" w:hAnsi="Arial" w:cs="Arial"/>
          <w:sz w:val="22"/>
          <w:szCs w:val="22"/>
          <w:lang w:eastAsia="en-GB"/>
        </w:rPr>
      </w:pPr>
      <w:r w:rsidRPr="00364CBF">
        <w:rPr>
          <w:rFonts w:ascii="Arial" w:eastAsia="Times New Roman" w:hAnsi="Arial" w:cs="Arial"/>
          <w:sz w:val="22"/>
          <w:szCs w:val="22"/>
          <w:lang w:eastAsia="en-GB"/>
        </w:rPr>
        <w:t xml:space="preserve">Be used to facilitate </w:t>
      </w:r>
      <w:r w:rsidR="00364CBF">
        <w:rPr>
          <w:rFonts w:ascii="Arial" w:eastAsia="Times New Roman" w:hAnsi="Arial" w:cs="Arial"/>
          <w:sz w:val="22"/>
          <w:szCs w:val="22"/>
          <w:lang w:eastAsia="en-GB"/>
        </w:rPr>
        <w:t xml:space="preserve">money laundering or terrorist financing </w:t>
      </w:r>
      <w:r w:rsidRPr="00364CBF">
        <w:rPr>
          <w:rFonts w:ascii="Arial" w:eastAsia="Times New Roman" w:hAnsi="Arial" w:cs="Arial"/>
          <w:sz w:val="22"/>
          <w:szCs w:val="22"/>
          <w:lang w:eastAsia="en-GB"/>
        </w:rPr>
        <w:t>by another person</w:t>
      </w:r>
      <w:r w:rsidR="00364CBF">
        <w:rPr>
          <w:rFonts w:ascii="Arial" w:eastAsia="Times New Roman" w:hAnsi="Arial" w:cs="Arial"/>
          <w:sz w:val="22"/>
          <w:szCs w:val="22"/>
          <w:lang w:eastAsia="en-GB"/>
        </w:rPr>
        <w:t>.</w:t>
      </w:r>
    </w:p>
    <w:p w14:paraId="0248404C" w14:textId="4C73C105" w:rsidR="002B5128" w:rsidRDefault="002B5128" w:rsidP="00364CBF">
      <w:pPr>
        <w:pStyle w:val="ListParagraph"/>
        <w:numPr>
          <w:ilvl w:val="0"/>
          <w:numId w:val="6"/>
        </w:numPr>
        <w:rPr>
          <w:rFonts w:ascii="Arial" w:eastAsia="Times New Roman" w:hAnsi="Arial" w:cs="Arial"/>
          <w:sz w:val="22"/>
          <w:szCs w:val="22"/>
          <w:lang w:eastAsia="en-GB"/>
        </w:rPr>
      </w:pPr>
      <w:r w:rsidRPr="00364CBF">
        <w:rPr>
          <w:rFonts w:ascii="Arial" w:eastAsia="Times New Roman" w:hAnsi="Arial" w:cs="Arial"/>
          <w:sz w:val="22"/>
          <w:szCs w:val="22"/>
          <w:lang w:eastAsia="en-GB"/>
        </w:rPr>
        <w:t>Suffer consequential legal, regulatory or reputational damage because a client (or one or more of its associates) is involved in money laundering.</w:t>
      </w:r>
    </w:p>
    <w:p w14:paraId="0FC0C259" w14:textId="1346C707" w:rsidR="00364CBF" w:rsidRDefault="00364CBF" w:rsidP="00364CBF">
      <w:pPr>
        <w:rPr>
          <w:rFonts w:ascii="Arial" w:eastAsia="Times New Roman" w:hAnsi="Arial" w:cs="Arial"/>
          <w:sz w:val="22"/>
          <w:szCs w:val="22"/>
          <w:lang w:eastAsia="en-GB"/>
        </w:rPr>
      </w:pPr>
    </w:p>
    <w:p w14:paraId="1D4E186F" w14:textId="2D693896" w:rsidR="00364CBF" w:rsidRDefault="00364CBF" w:rsidP="00364CBF">
      <w:pPr>
        <w:rPr>
          <w:rFonts w:ascii="Arial" w:eastAsia="Times New Roman" w:hAnsi="Arial" w:cs="Arial"/>
          <w:sz w:val="22"/>
          <w:szCs w:val="22"/>
          <w:lang w:eastAsia="en-GB"/>
        </w:rPr>
      </w:pPr>
      <w:r>
        <w:rPr>
          <w:rFonts w:ascii="Arial" w:eastAsia="Times New Roman" w:hAnsi="Arial" w:cs="Arial"/>
          <w:sz w:val="22"/>
          <w:szCs w:val="22"/>
          <w:lang w:eastAsia="en-GB"/>
        </w:rPr>
        <w:t xml:space="preserve">For a simple sole practitioner </w:t>
      </w:r>
      <w:r w:rsidR="00624A3E">
        <w:rPr>
          <w:rFonts w:ascii="Arial" w:eastAsia="Times New Roman" w:hAnsi="Arial" w:cs="Arial"/>
          <w:sz w:val="22"/>
          <w:szCs w:val="22"/>
          <w:lang w:eastAsia="en-GB"/>
        </w:rPr>
        <w:t>practice</w:t>
      </w:r>
      <w:r>
        <w:rPr>
          <w:rFonts w:ascii="Arial" w:eastAsia="Times New Roman" w:hAnsi="Arial" w:cs="Arial"/>
          <w:sz w:val="22"/>
          <w:szCs w:val="22"/>
          <w:lang w:eastAsia="en-GB"/>
        </w:rPr>
        <w:t xml:space="preserve"> where all clients are locally based, and the services offered are considered to be a low money laundering risk the risk assessment need not be overly complex. All risk assessments should </w:t>
      </w:r>
      <w:r w:rsidR="00D92AB5">
        <w:rPr>
          <w:rFonts w:ascii="Arial" w:eastAsia="Times New Roman" w:hAnsi="Arial" w:cs="Arial"/>
          <w:sz w:val="22"/>
          <w:szCs w:val="22"/>
          <w:lang w:eastAsia="en-GB"/>
        </w:rPr>
        <w:t>address the following risk categories:</w:t>
      </w:r>
    </w:p>
    <w:p w14:paraId="3A0E30F4" w14:textId="4D78D3A9" w:rsidR="00D92AB5" w:rsidRDefault="00D92AB5" w:rsidP="00364CBF">
      <w:pPr>
        <w:rPr>
          <w:rFonts w:ascii="Arial" w:eastAsia="Times New Roman" w:hAnsi="Arial" w:cs="Arial"/>
          <w:sz w:val="22"/>
          <w:szCs w:val="22"/>
          <w:lang w:eastAsia="en-GB"/>
        </w:rPr>
      </w:pPr>
    </w:p>
    <w:p w14:paraId="2F5CDE20" w14:textId="67B93B04" w:rsidR="00D92AB5" w:rsidRDefault="00D92AB5" w:rsidP="00364CBF">
      <w:pPr>
        <w:rPr>
          <w:rFonts w:ascii="Arial" w:eastAsia="Times New Roman" w:hAnsi="Arial" w:cs="Arial"/>
          <w:sz w:val="22"/>
          <w:szCs w:val="22"/>
          <w:lang w:eastAsia="en-GB"/>
        </w:rPr>
      </w:pPr>
      <w:r w:rsidRPr="00D92AB5">
        <w:rPr>
          <w:rFonts w:ascii="Arial" w:eastAsia="Times New Roman" w:hAnsi="Arial" w:cs="Arial"/>
          <w:b/>
          <w:bCs/>
          <w:sz w:val="22"/>
          <w:szCs w:val="22"/>
          <w:u w:val="single"/>
          <w:lang w:eastAsia="en-GB"/>
        </w:rPr>
        <w:t>Client Risk.</w:t>
      </w:r>
      <w:r>
        <w:rPr>
          <w:rFonts w:ascii="Arial" w:eastAsia="Times New Roman" w:hAnsi="Arial" w:cs="Arial"/>
          <w:b/>
          <w:bCs/>
          <w:sz w:val="22"/>
          <w:szCs w:val="22"/>
          <w:u w:val="single"/>
          <w:lang w:eastAsia="en-GB"/>
        </w:rPr>
        <w:t xml:space="preserve"> </w:t>
      </w:r>
      <w:r>
        <w:rPr>
          <w:rFonts w:ascii="Arial" w:eastAsia="Times New Roman" w:hAnsi="Arial" w:cs="Arial"/>
          <w:sz w:val="22"/>
          <w:szCs w:val="22"/>
          <w:lang w:eastAsia="en-GB"/>
        </w:rPr>
        <w:t xml:space="preserve">As an ICB member you are required to input all your clients onto the AML online system. This will undertake a client risk assessment for you and provide you with a risk profile of your client from which you should manage your </w:t>
      </w:r>
      <w:r w:rsidR="004D27B8">
        <w:rPr>
          <w:rFonts w:ascii="Arial" w:eastAsia="Times New Roman" w:hAnsi="Arial" w:cs="Arial"/>
          <w:sz w:val="22"/>
          <w:szCs w:val="22"/>
          <w:lang w:eastAsia="en-GB"/>
        </w:rPr>
        <w:t xml:space="preserve">client </w:t>
      </w:r>
      <w:r>
        <w:rPr>
          <w:rFonts w:ascii="Arial" w:eastAsia="Times New Roman" w:hAnsi="Arial" w:cs="Arial"/>
          <w:sz w:val="22"/>
          <w:szCs w:val="22"/>
          <w:lang w:eastAsia="en-GB"/>
        </w:rPr>
        <w:t>AML compliance.</w:t>
      </w:r>
    </w:p>
    <w:p w14:paraId="21C5664A" w14:textId="2CF1EA58" w:rsidR="00D92AB5" w:rsidRDefault="00D92AB5" w:rsidP="00364CBF">
      <w:pPr>
        <w:rPr>
          <w:rFonts w:ascii="Arial" w:eastAsia="Times New Roman" w:hAnsi="Arial" w:cs="Arial"/>
          <w:sz w:val="22"/>
          <w:szCs w:val="22"/>
          <w:lang w:eastAsia="en-GB"/>
        </w:rPr>
      </w:pPr>
    </w:p>
    <w:p w14:paraId="63C1A307" w14:textId="5B06A3B2" w:rsidR="002B5128" w:rsidRDefault="00D92AB5" w:rsidP="00624A71">
      <w:pPr>
        <w:rPr>
          <w:rFonts w:ascii="Arial" w:eastAsia="Times New Roman" w:hAnsi="Arial" w:cs="Arial"/>
          <w:sz w:val="22"/>
          <w:szCs w:val="22"/>
          <w:lang w:eastAsia="en-GB"/>
        </w:rPr>
      </w:pPr>
      <w:r w:rsidRPr="00D92AB5">
        <w:rPr>
          <w:rFonts w:ascii="Arial" w:eastAsia="Times New Roman" w:hAnsi="Arial" w:cs="Arial"/>
          <w:b/>
          <w:bCs/>
          <w:sz w:val="22"/>
          <w:szCs w:val="22"/>
          <w:u w:val="single"/>
          <w:lang w:eastAsia="en-GB"/>
        </w:rPr>
        <w:t xml:space="preserve">Geographical </w:t>
      </w:r>
      <w:r w:rsidR="00AF09FB">
        <w:rPr>
          <w:rFonts w:ascii="Arial" w:eastAsia="Times New Roman" w:hAnsi="Arial" w:cs="Arial"/>
          <w:b/>
          <w:bCs/>
          <w:sz w:val="22"/>
          <w:szCs w:val="22"/>
          <w:u w:val="single"/>
          <w:lang w:eastAsia="en-GB"/>
        </w:rPr>
        <w:t>Ri</w:t>
      </w:r>
      <w:r w:rsidR="00624A71" w:rsidRPr="00D92AB5">
        <w:rPr>
          <w:rFonts w:ascii="Arial" w:eastAsia="Times New Roman" w:hAnsi="Arial" w:cs="Arial"/>
          <w:b/>
          <w:bCs/>
          <w:sz w:val="22"/>
          <w:szCs w:val="22"/>
          <w:u w:val="single"/>
          <w:lang w:eastAsia="en-GB"/>
        </w:rPr>
        <w:t>sk</w:t>
      </w:r>
      <w:r w:rsidR="00624A71" w:rsidRPr="00624A71">
        <w:rPr>
          <w:rFonts w:ascii="Arial" w:eastAsia="Times New Roman" w:hAnsi="Arial" w:cs="Arial"/>
          <w:sz w:val="22"/>
          <w:szCs w:val="22"/>
          <w:lang w:eastAsia="en-GB"/>
        </w:rPr>
        <w:t>. -</w:t>
      </w:r>
      <w:r w:rsidR="00624A71" w:rsidRPr="00624A71">
        <w:t xml:space="preserve"> </w:t>
      </w:r>
      <w:r w:rsidR="00624A71" w:rsidRPr="00624A71">
        <w:rPr>
          <w:rFonts w:ascii="Arial" w:eastAsia="Times New Roman" w:hAnsi="Arial" w:cs="Arial"/>
          <w:sz w:val="22"/>
          <w:szCs w:val="22"/>
          <w:lang w:eastAsia="en-GB"/>
        </w:rPr>
        <w:t xml:space="preserve">A </w:t>
      </w:r>
      <w:r w:rsidR="00624A3E">
        <w:rPr>
          <w:rFonts w:ascii="Arial" w:eastAsia="Times New Roman" w:hAnsi="Arial" w:cs="Arial"/>
          <w:sz w:val="22"/>
          <w:szCs w:val="22"/>
          <w:lang w:eastAsia="en-GB"/>
        </w:rPr>
        <w:t>practice</w:t>
      </w:r>
      <w:r w:rsidR="00624A71" w:rsidRPr="00624A71">
        <w:rPr>
          <w:rFonts w:ascii="Arial" w:eastAsia="Times New Roman" w:hAnsi="Arial" w:cs="Arial"/>
          <w:sz w:val="22"/>
          <w:szCs w:val="22"/>
          <w:lang w:eastAsia="en-GB"/>
        </w:rPr>
        <w:t xml:space="preserve"> should consider the following question “Are our clients established in </w:t>
      </w:r>
      <w:r w:rsidR="00624A71">
        <w:rPr>
          <w:rFonts w:ascii="Arial" w:eastAsia="Times New Roman" w:hAnsi="Arial" w:cs="Arial"/>
          <w:sz w:val="22"/>
          <w:szCs w:val="22"/>
          <w:lang w:eastAsia="en-GB"/>
        </w:rPr>
        <w:t xml:space="preserve">or do they have business links with </w:t>
      </w:r>
      <w:r w:rsidR="00624A71" w:rsidRPr="00624A71">
        <w:rPr>
          <w:rFonts w:ascii="Arial" w:eastAsia="Times New Roman" w:hAnsi="Arial" w:cs="Arial"/>
          <w:sz w:val="22"/>
          <w:szCs w:val="22"/>
          <w:lang w:eastAsia="en-GB"/>
        </w:rPr>
        <w:t>countries that are known to be used by money launderers or terrorist financiers?</w:t>
      </w:r>
    </w:p>
    <w:p w14:paraId="057C8D0E" w14:textId="163C13A7" w:rsidR="00624A71" w:rsidRDefault="00624A71" w:rsidP="00624A71">
      <w:pPr>
        <w:rPr>
          <w:rFonts w:ascii="Arial" w:eastAsia="Times New Roman" w:hAnsi="Arial" w:cs="Arial"/>
          <w:sz w:val="22"/>
          <w:szCs w:val="22"/>
          <w:lang w:eastAsia="en-GB"/>
        </w:rPr>
      </w:pPr>
    </w:p>
    <w:p w14:paraId="1A4B3242" w14:textId="60CF5F4D" w:rsidR="00AF09FB" w:rsidRDefault="00AF09FB" w:rsidP="00AF09FB">
      <w:pPr>
        <w:rPr>
          <w:rFonts w:ascii="Arial" w:eastAsia="Times New Roman" w:hAnsi="Arial" w:cs="Arial"/>
          <w:sz w:val="22"/>
          <w:szCs w:val="22"/>
          <w:lang w:eastAsia="en-GB"/>
        </w:rPr>
      </w:pPr>
      <w:r w:rsidRPr="00AF09FB">
        <w:rPr>
          <w:rFonts w:ascii="Arial" w:eastAsia="Times New Roman" w:hAnsi="Arial" w:cs="Arial"/>
          <w:b/>
          <w:bCs/>
          <w:sz w:val="22"/>
          <w:szCs w:val="22"/>
          <w:u w:val="single"/>
          <w:lang w:eastAsia="en-GB"/>
        </w:rPr>
        <w:t>Service Risk</w:t>
      </w:r>
      <w:r w:rsidRPr="00AF09FB">
        <w:rPr>
          <w:rFonts w:ascii="Arial" w:eastAsia="Times New Roman" w:hAnsi="Arial" w:cs="Arial"/>
          <w:sz w:val="22"/>
          <w:szCs w:val="22"/>
          <w:lang w:eastAsia="en-GB"/>
        </w:rPr>
        <w:t xml:space="preserve"> -</w:t>
      </w:r>
      <w:r w:rsidRPr="00AF09FB">
        <w:rPr>
          <w:rFonts w:ascii="Arial" w:eastAsia="Times New Roman" w:hAnsi="Arial" w:cs="Arial"/>
          <w:b/>
          <w:bCs/>
          <w:sz w:val="22"/>
          <w:szCs w:val="22"/>
          <w:lang w:eastAsia="en-GB"/>
        </w:rPr>
        <w:t xml:space="preserve"> </w:t>
      </w:r>
      <w:r w:rsidRPr="00AF09FB">
        <w:rPr>
          <w:rFonts w:ascii="Arial" w:eastAsia="Times New Roman" w:hAnsi="Arial" w:cs="Arial"/>
          <w:sz w:val="22"/>
          <w:szCs w:val="22"/>
          <w:lang w:eastAsia="en-GB"/>
        </w:rPr>
        <w:t xml:space="preserve">A </w:t>
      </w:r>
      <w:r w:rsidR="00624A3E">
        <w:rPr>
          <w:rFonts w:ascii="Arial" w:eastAsia="Times New Roman" w:hAnsi="Arial" w:cs="Arial"/>
          <w:sz w:val="22"/>
          <w:szCs w:val="22"/>
          <w:lang w:eastAsia="en-GB"/>
        </w:rPr>
        <w:t xml:space="preserve">practice </w:t>
      </w:r>
      <w:r w:rsidRPr="00AF09FB">
        <w:rPr>
          <w:rFonts w:ascii="Arial" w:eastAsia="Times New Roman" w:hAnsi="Arial" w:cs="Arial"/>
          <w:sz w:val="22"/>
          <w:szCs w:val="22"/>
          <w:lang w:eastAsia="en-GB"/>
        </w:rPr>
        <w:t>should consider the following question “Do any of our products or services have attributes known to be used by money launderers or terrorist financiers?”</w:t>
      </w:r>
    </w:p>
    <w:p w14:paraId="4782A4D7" w14:textId="79FAB7C6" w:rsidR="00AF09FB" w:rsidRDefault="00AF09FB" w:rsidP="00AF09FB">
      <w:pPr>
        <w:rPr>
          <w:rFonts w:ascii="Arial" w:eastAsia="Times New Roman" w:hAnsi="Arial" w:cs="Arial"/>
          <w:sz w:val="22"/>
          <w:szCs w:val="22"/>
          <w:lang w:eastAsia="en-GB"/>
        </w:rPr>
      </w:pPr>
    </w:p>
    <w:p w14:paraId="5B110042" w14:textId="564E3746" w:rsidR="00D41463" w:rsidRDefault="008267D2" w:rsidP="00D41463">
      <w:pPr>
        <w:rPr>
          <w:rFonts w:ascii="Arial" w:eastAsia="Times New Roman" w:hAnsi="Arial" w:cs="Arial"/>
          <w:sz w:val="22"/>
          <w:szCs w:val="22"/>
          <w:lang w:eastAsia="en-GB"/>
        </w:rPr>
      </w:pPr>
      <w:r w:rsidRPr="008267D2">
        <w:rPr>
          <w:rFonts w:ascii="Arial" w:eastAsia="Times New Roman" w:hAnsi="Arial" w:cs="Arial"/>
          <w:b/>
          <w:bCs/>
          <w:sz w:val="22"/>
          <w:szCs w:val="22"/>
          <w:u w:val="single"/>
          <w:lang w:eastAsia="en-GB"/>
        </w:rPr>
        <w:t xml:space="preserve">Transaction </w:t>
      </w:r>
      <w:r>
        <w:rPr>
          <w:rFonts w:ascii="Arial" w:eastAsia="Times New Roman" w:hAnsi="Arial" w:cs="Arial"/>
          <w:b/>
          <w:bCs/>
          <w:sz w:val="22"/>
          <w:szCs w:val="22"/>
          <w:u w:val="single"/>
          <w:lang w:eastAsia="en-GB"/>
        </w:rPr>
        <w:t>Risk.</w:t>
      </w:r>
      <w:r w:rsidRPr="00D41463">
        <w:rPr>
          <w:rFonts w:ascii="Arial" w:eastAsia="Times New Roman" w:hAnsi="Arial" w:cs="Arial"/>
          <w:sz w:val="22"/>
          <w:szCs w:val="22"/>
          <w:lang w:eastAsia="en-GB"/>
        </w:rPr>
        <w:t xml:space="preserve"> </w:t>
      </w:r>
      <w:r w:rsidR="00624A3E">
        <w:rPr>
          <w:rFonts w:ascii="Arial" w:eastAsia="Times New Roman" w:hAnsi="Arial" w:cs="Arial"/>
          <w:sz w:val="22"/>
          <w:szCs w:val="22"/>
          <w:lang w:eastAsia="en-GB"/>
        </w:rPr>
        <w:t>–</w:t>
      </w:r>
      <w:r w:rsidR="00D41463" w:rsidRPr="00D41463">
        <w:rPr>
          <w:rFonts w:ascii="Arial" w:eastAsia="Times New Roman" w:hAnsi="Arial" w:cs="Arial"/>
          <w:sz w:val="22"/>
          <w:szCs w:val="22"/>
          <w:lang w:eastAsia="en-GB"/>
        </w:rPr>
        <w:t xml:space="preserve"> </w:t>
      </w:r>
      <w:r w:rsidR="00624A3E">
        <w:rPr>
          <w:rFonts w:ascii="Arial" w:eastAsia="Times New Roman" w:hAnsi="Arial" w:cs="Arial"/>
          <w:b/>
          <w:bCs/>
          <w:sz w:val="22"/>
          <w:szCs w:val="22"/>
          <w:lang w:eastAsia="en-GB"/>
        </w:rPr>
        <w:t>P</w:t>
      </w:r>
      <w:r w:rsidR="00D41463" w:rsidRPr="00D41463">
        <w:rPr>
          <w:rFonts w:ascii="Arial" w:eastAsia="Times New Roman" w:hAnsi="Arial" w:cs="Arial"/>
          <w:sz w:val="22"/>
          <w:szCs w:val="22"/>
          <w:lang w:eastAsia="en-GB"/>
        </w:rPr>
        <w:t>roduct</w:t>
      </w:r>
      <w:r w:rsidR="00624A3E">
        <w:rPr>
          <w:rFonts w:ascii="Arial" w:eastAsia="Times New Roman" w:hAnsi="Arial" w:cs="Arial"/>
          <w:sz w:val="22"/>
          <w:szCs w:val="22"/>
          <w:lang w:eastAsia="en-GB"/>
        </w:rPr>
        <w:t xml:space="preserve">s </w:t>
      </w:r>
      <w:r w:rsidR="00D41463" w:rsidRPr="00D41463">
        <w:rPr>
          <w:rFonts w:ascii="Arial" w:eastAsia="Times New Roman" w:hAnsi="Arial" w:cs="Arial"/>
          <w:sz w:val="22"/>
          <w:szCs w:val="22"/>
          <w:lang w:eastAsia="en-GB"/>
        </w:rPr>
        <w:t>or transaction</w:t>
      </w:r>
      <w:r w:rsidR="00624A3E">
        <w:rPr>
          <w:rFonts w:ascii="Arial" w:eastAsia="Times New Roman" w:hAnsi="Arial" w:cs="Arial"/>
          <w:sz w:val="22"/>
          <w:szCs w:val="22"/>
          <w:lang w:eastAsia="en-GB"/>
        </w:rPr>
        <w:t>s</w:t>
      </w:r>
      <w:r w:rsidR="00D41463" w:rsidRPr="00D41463">
        <w:rPr>
          <w:rFonts w:ascii="Arial" w:eastAsia="Times New Roman" w:hAnsi="Arial" w:cs="Arial"/>
          <w:sz w:val="22"/>
          <w:szCs w:val="22"/>
          <w:lang w:eastAsia="en-GB"/>
        </w:rPr>
        <w:t xml:space="preserve"> which might favour anonymity</w:t>
      </w:r>
      <w:r w:rsidR="00D41463">
        <w:rPr>
          <w:rFonts w:ascii="Arial" w:eastAsia="Times New Roman" w:hAnsi="Arial" w:cs="Arial"/>
          <w:sz w:val="22"/>
          <w:szCs w:val="22"/>
          <w:lang w:eastAsia="en-GB"/>
        </w:rPr>
        <w:t xml:space="preserve"> or</w:t>
      </w:r>
      <w:r w:rsidR="00D41463" w:rsidRPr="00D41463">
        <w:rPr>
          <w:rFonts w:ascii="Arial" w:eastAsia="Times New Roman" w:hAnsi="Arial" w:cs="Arial"/>
          <w:sz w:val="22"/>
          <w:szCs w:val="22"/>
          <w:lang w:eastAsia="en-GB"/>
        </w:rPr>
        <w:t xml:space="preserve"> involves non-face-to-face business relationships or transactions</w:t>
      </w:r>
      <w:r w:rsidR="00624A3E">
        <w:rPr>
          <w:rFonts w:ascii="Arial" w:eastAsia="Times New Roman" w:hAnsi="Arial" w:cs="Arial"/>
          <w:sz w:val="22"/>
          <w:szCs w:val="22"/>
          <w:lang w:eastAsia="en-GB"/>
        </w:rPr>
        <w:t xml:space="preserve"> </w:t>
      </w:r>
      <w:r w:rsidR="00D41463" w:rsidRPr="00D41463">
        <w:rPr>
          <w:rFonts w:ascii="Arial" w:eastAsia="Times New Roman" w:hAnsi="Arial" w:cs="Arial"/>
          <w:sz w:val="22"/>
          <w:szCs w:val="22"/>
          <w:lang w:eastAsia="en-GB"/>
        </w:rPr>
        <w:t>without certain safeguards, such as electronic signatures</w:t>
      </w:r>
      <w:r w:rsidR="00D41463">
        <w:rPr>
          <w:rFonts w:ascii="Arial" w:eastAsia="Times New Roman" w:hAnsi="Arial" w:cs="Arial"/>
          <w:sz w:val="22"/>
          <w:szCs w:val="22"/>
          <w:lang w:eastAsia="en-GB"/>
        </w:rPr>
        <w:t xml:space="preserve"> or payments </w:t>
      </w:r>
      <w:r w:rsidR="00D41463" w:rsidRPr="00D41463">
        <w:rPr>
          <w:rFonts w:ascii="Arial" w:eastAsia="Times New Roman" w:hAnsi="Arial" w:cs="Arial"/>
          <w:sz w:val="22"/>
          <w:szCs w:val="22"/>
          <w:lang w:eastAsia="en-GB"/>
        </w:rPr>
        <w:t>received from unknown or un</w:t>
      </w:r>
      <w:r w:rsidR="00D41463">
        <w:rPr>
          <w:rFonts w:ascii="Arial" w:eastAsia="Times New Roman" w:hAnsi="Arial" w:cs="Arial"/>
          <w:sz w:val="22"/>
          <w:szCs w:val="22"/>
          <w:lang w:eastAsia="en-GB"/>
        </w:rPr>
        <w:t>-</w:t>
      </w:r>
      <w:r w:rsidR="00D41463" w:rsidRPr="00D41463">
        <w:rPr>
          <w:rFonts w:ascii="Arial" w:eastAsia="Times New Roman" w:hAnsi="Arial" w:cs="Arial"/>
          <w:sz w:val="22"/>
          <w:szCs w:val="22"/>
          <w:lang w:eastAsia="en-GB"/>
        </w:rPr>
        <w:t xml:space="preserve">associated third parties; </w:t>
      </w:r>
    </w:p>
    <w:p w14:paraId="3FF9D410" w14:textId="77777777" w:rsidR="00624A3E" w:rsidRPr="00D41463" w:rsidRDefault="00624A3E" w:rsidP="00D41463">
      <w:pPr>
        <w:rPr>
          <w:rFonts w:ascii="Arial" w:eastAsia="Times New Roman" w:hAnsi="Arial" w:cs="Arial"/>
          <w:sz w:val="22"/>
          <w:szCs w:val="22"/>
          <w:lang w:eastAsia="en-GB"/>
        </w:rPr>
      </w:pPr>
    </w:p>
    <w:p w14:paraId="1E8C01E4" w14:textId="4658C1A8" w:rsidR="008267D2" w:rsidRPr="008267D2" w:rsidRDefault="008267D2" w:rsidP="008267D2">
      <w:pPr>
        <w:rPr>
          <w:rFonts w:ascii="Arial" w:eastAsia="Times New Roman" w:hAnsi="Arial" w:cs="Arial"/>
          <w:sz w:val="22"/>
          <w:szCs w:val="22"/>
          <w:lang w:eastAsia="en-GB"/>
        </w:rPr>
      </w:pPr>
      <w:r w:rsidRPr="008267D2">
        <w:rPr>
          <w:rFonts w:ascii="Arial" w:eastAsia="Times New Roman" w:hAnsi="Arial" w:cs="Arial"/>
          <w:b/>
          <w:bCs/>
          <w:sz w:val="22"/>
          <w:szCs w:val="22"/>
          <w:u w:val="single"/>
          <w:lang w:eastAsia="en-GB"/>
        </w:rPr>
        <w:lastRenderedPageBreak/>
        <w:t>Delivery Channel Risk</w:t>
      </w:r>
      <w:r w:rsidRPr="008267D2">
        <w:rPr>
          <w:rFonts w:ascii="Arial" w:eastAsia="Times New Roman" w:hAnsi="Arial" w:cs="Arial"/>
          <w:sz w:val="22"/>
          <w:szCs w:val="22"/>
          <w:lang w:eastAsia="en-GB"/>
        </w:rPr>
        <w:t>. -</w:t>
      </w:r>
      <w:r w:rsidRPr="008267D2">
        <w:rPr>
          <w:rFonts w:ascii="Arial" w:eastAsia="Times New Roman" w:hAnsi="Arial" w:cs="Arial"/>
          <w:b/>
          <w:bCs/>
          <w:sz w:val="22"/>
          <w:szCs w:val="22"/>
          <w:lang w:eastAsia="en-GB"/>
        </w:rPr>
        <w:t xml:space="preserve"> </w:t>
      </w:r>
      <w:r w:rsidRPr="008267D2">
        <w:rPr>
          <w:rFonts w:ascii="Arial" w:eastAsia="Times New Roman" w:hAnsi="Arial" w:cs="Arial"/>
          <w:sz w:val="22"/>
          <w:szCs w:val="22"/>
          <w:lang w:eastAsia="en-GB"/>
        </w:rPr>
        <w:t>Certain delivery channels can increase the MLTF risk, because they can make it more difficult to determine the identity and credibility of a client, both at the start of a business relationship and during its course. For example, delivery channel risk could be increased where services/products are provided to clients who have not been met face-to-face, or where a business relationship with a client is conducted through an intermediary</w:t>
      </w:r>
    </w:p>
    <w:p w14:paraId="53D1CE9D" w14:textId="1D2E231C" w:rsidR="00C27ACA" w:rsidRPr="004D27B8" w:rsidRDefault="00C27ACA" w:rsidP="00C27ACA">
      <w:pPr>
        <w:pStyle w:val="NormalWeb"/>
        <w:rPr>
          <w:rFonts w:ascii="Arial" w:hAnsi="Arial" w:cs="Arial"/>
          <w:b/>
          <w:bCs/>
          <w:sz w:val="22"/>
          <w:szCs w:val="22"/>
        </w:rPr>
      </w:pPr>
      <w:r w:rsidRPr="004D27B8">
        <w:rPr>
          <w:rFonts w:ascii="Arial" w:hAnsi="Arial" w:cs="Arial"/>
          <w:b/>
          <w:bCs/>
          <w:sz w:val="22"/>
          <w:szCs w:val="22"/>
        </w:rPr>
        <w:t xml:space="preserve">GUIDANCE FOR COMPLETING THE RISK ASSESSMENT </w:t>
      </w:r>
    </w:p>
    <w:p w14:paraId="32F02F4F" w14:textId="26840F1C" w:rsidR="00C27ACA" w:rsidRDefault="00C27ACA" w:rsidP="00C27ACA">
      <w:pPr>
        <w:pStyle w:val="NormalWeb"/>
      </w:pPr>
      <w:r>
        <w:rPr>
          <w:rFonts w:ascii="ArialMT" w:hAnsi="ArialMT"/>
          <w:sz w:val="20"/>
          <w:szCs w:val="20"/>
        </w:rPr>
        <w:t xml:space="preserve">ICB has prepared the risk template to assist you to record your </w:t>
      </w:r>
      <w:r w:rsidR="004C7F23">
        <w:rPr>
          <w:rFonts w:ascii="ArialMT" w:hAnsi="ArialMT"/>
          <w:sz w:val="20"/>
          <w:szCs w:val="20"/>
        </w:rPr>
        <w:t>practice</w:t>
      </w:r>
      <w:r>
        <w:rPr>
          <w:rFonts w:ascii="ArialMT" w:hAnsi="ArialMT"/>
          <w:sz w:val="20"/>
          <w:szCs w:val="20"/>
        </w:rPr>
        <w:t xml:space="preserve">’s risk assessment. This template </w:t>
      </w:r>
      <w:r w:rsidR="00505069">
        <w:rPr>
          <w:rFonts w:ascii="ArialMT" w:hAnsi="ArialMT"/>
          <w:sz w:val="20"/>
          <w:szCs w:val="20"/>
        </w:rPr>
        <w:t xml:space="preserve">forms part of your AML requirements and is a </w:t>
      </w:r>
      <w:r>
        <w:rPr>
          <w:rFonts w:ascii="ArialMT" w:hAnsi="ArialMT"/>
          <w:sz w:val="20"/>
          <w:szCs w:val="20"/>
        </w:rPr>
        <w:t>mandatory</w:t>
      </w:r>
      <w:r w:rsidR="00505069">
        <w:rPr>
          <w:rFonts w:ascii="ArialMT" w:hAnsi="ArialMT"/>
          <w:sz w:val="20"/>
          <w:szCs w:val="20"/>
        </w:rPr>
        <w:t xml:space="preserve"> element of your AML compliance. </w:t>
      </w:r>
    </w:p>
    <w:p w14:paraId="4353AE1C" w14:textId="06BD33FB" w:rsidR="00C27ACA" w:rsidRPr="00725DCB" w:rsidRDefault="00C27ACA" w:rsidP="00C27ACA">
      <w:pPr>
        <w:pStyle w:val="NormalWeb"/>
        <w:rPr>
          <w:rFonts w:ascii="ArialMT" w:hAnsi="ArialMT"/>
          <w:color w:val="934F70"/>
          <w:sz w:val="20"/>
          <w:szCs w:val="20"/>
        </w:rPr>
      </w:pPr>
      <w:r>
        <w:rPr>
          <w:rFonts w:ascii="ArialMT" w:hAnsi="ArialMT"/>
          <w:sz w:val="20"/>
          <w:szCs w:val="20"/>
        </w:rPr>
        <w:t xml:space="preserve">To assist members, we have provided </w:t>
      </w:r>
      <w:r w:rsidR="00D805E6">
        <w:rPr>
          <w:rFonts w:ascii="ArialMT" w:hAnsi="ArialMT"/>
          <w:sz w:val="20"/>
          <w:szCs w:val="20"/>
        </w:rPr>
        <w:t xml:space="preserve">a sample template </w:t>
      </w:r>
      <w:r>
        <w:rPr>
          <w:rFonts w:ascii="ArialMT" w:hAnsi="ArialMT"/>
          <w:sz w:val="20"/>
          <w:szCs w:val="20"/>
        </w:rPr>
        <w:t xml:space="preserve">which are available for review at </w:t>
      </w:r>
      <w:r>
        <w:rPr>
          <w:rFonts w:ascii="ArialMT" w:hAnsi="ArialMT"/>
          <w:color w:val="934F70"/>
          <w:sz w:val="20"/>
          <w:szCs w:val="20"/>
        </w:rPr>
        <w:t>bookkeepers.org.uk.</w:t>
      </w:r>
    </w:p>
    <w:p w14:paraId="7C4B3BCA" w14:textId="77777777" w:rsidR="00C27ACA" w:rsidRPr="00BA3A6C" w:rsidRDefault="00C27ACA" w:rsidP="00C27ACA">
      <w:pPr>
        <w:spacing w:before="100" w:beforeAutospacing="1" w:after="100" w:afterAutospacing="1"/>
        <w:rPr>
          <w:rFonts w:ascii="Times New Roman" w:eastAsia="Times New Roman" w:hAnsi="Times New Roman" w:cs="Times New Roman"/>
        </w:rPr>
      </w:pPr>
      <w:r w:rsidRPr="00BA3A6C">
        <w:rPr>
          <w:rFonts w:ascii="Arial" w:eastAsia="Times New Roman" w:hAnsi="Arial" w:cs="Arial"/>
          <w:b/>
          <w:bCs/>
          <w:sz w:val="20"/>
          <w:szCs w:val="20"/>
        </w:rPr>
        <w:t xml:space="preserve">Step1: Identify Risks </w:t>
      </w:r>
    </w:p>
    <w:p w14:paraId="6D41A97E" w14:textId="36DA2D50" w:rsidR="00C27ACA" w:rsidRPr="00BA3A6C" w:rsidRDefault="00C27ACA" w:rsidP="00C27ACA">
      <w:pPr>
        <w:spacing w:before="100" w:beforeAutospacing="1" w:after="100" w:afterAutospacing="1"/>
        <w:rPr>
          <w:rFonts w:ascii="Times New Roman" w:eastAsia="Times New Roman" w:hAnsi="Times New Roman" w:cs="Times New Roman"/>
        </w:rPr>
      </w:pPr>
      <w:r w:rsidRPr="00BA3A6C">
        <w:rPr>
          <w:rFonts w:ascii="ArialMT" w:eastAsia="Times New Roman" w:hAnsi="ArialMT" w:cs="Times New Roman"/>
          <w:sz w:val="20"/>
          <w:szCs w:val="20"/>
        </w:rPr>
        <w:t xml:space="preserve">The first aspect to be undertaken is to identify and document the money laundering risks facing the </w:t>
      </w:r>
      <w:r w:rsidR="004C7F23">
        <w:rPr>
          <w:rFonts w:ascii="ArialMT" w:eastAsia="Times New Roman" w:hAnsi="ArialMT" w:cs="Times New Roman"/>
          <w:sz w:val="20"/>
          <w:szCs w:val="20"/>
        </w:rPr>
        <w:t>practice</w:t>
      </w:r>
      <w:r w:rsidR="004D27B8">
        <w:rPr>
          <w:rFonts w:ascii="ArialMT" w:eastAsia="Times New Roman" w:hAnsi="ArialMT" w:cs="Times New Roman"/>
          <w:sz w:val="20"/>
          <w:szCs w:val="20"/>
        </w:rPr>
        <w:t xml:space="preserve"> based on the five risk areas already outlined above. Bearing in mind that by completing the client risk assessment on AML online you have completed your client risk assessment.</w:t>
      </w:r>
    </w:p>
    <w:p w14:paraId="0B104362" w14:textId="2B28576B" w:rsidR="00C27ACA" w:rsidRPr="00BA3A6C" w:rsidRDefault="00C27ACA" w:rsidP="00C27ACA">
      <w:pPr>
        <w:numPr>
          <w:ilvl w:val="0"/>
          <w:numId w:val="1"/>
        </w:numPr>
        <w:spacing w:before="100" w:beforeAutospacing="1" w:after="100" w:afterAutospacing="1"/>
        <w:rPr>
          <w:rFonts w:ascii="ArialMT" w:eastAsia="Times New Roman" w:hAnsi="ArialMT" w:cs="Times New Roman"/>
          <w:sz w:val="20"/>
          <w:szCs w:val="20"/>
        </w:rPr>
      </w:pPr>
      <w:r w:rsidRPr="00BA3A6C">
        <w:rPr>
          <w:rFonts w:ascii="Arial" w:eastAsia="Times New Roman" w:hAnsi="Arial" w:cs="Arial"/>
          <w:b/>
          <w:bCs/>
          <w:sz w:val="20"/>
          <w:szCs w:val="20"/>
        </w:rPr>
        <w:t xml:space="preserve">Clients: </w:t>
      </w:r>
      <w:r w:rsidRPr="00BA3A6C">
        <w:rPr>
          <w:rFonts w:ascii="ArialMT" w:eastAsia="Times New Roman" w:hAnsi="ArialMT" w:cs="Times New Roman"/>
          <w:sz w:val="20"/>
          <w:szCs w:val="20"/>
        </w:rPr>
        <w:t xml:space="preserve">consideration of the nature of the clients the </w:t>
      </w:r>
      <w:r w:rsidR="004C7F23">
        <w:rPr>
          <w:rFonts w:ascii="ArialMT" w:eastAsia="Times New Roman" w:hAnsi="ArialMT" w:cs="Times New Roman"/>
          <w:sz w:val="20"/>
          <w:szCs w:val="20"/>
        </w:rPr>
        <w:t>practice</w:t>
      </w:r>
      <w:r w:rsidRPr="00BA3A6C">
        <w:rPr>
          <w:rFonts w:ascii="ArialMT" w:eastAsia="Times New Roman" w:hAnsi="ArialMT" w:cs="Times New Roman"/>
          <w:sz w:val="20"/>
          <w:szCs w:val="20"/>
        </w:rPr>
        <w:t xml:space="preserve"> acts for. </w:t>
      </w:r>
    </w:p>
    <w:p w14:paraId="09F5BCC7" w14:textId="77777777" w:rsidR="00C27ACA" w:rsidRPr="00BA3A6C" w:rsidRDefault="00C27ACA" w:rsidP="00C27ACA">
      <w:pPr>
        <w:numPr>
          <w:ilvl w:val="0"/>
          <w:numId w:val="1"/>
        </w:numPr>
        <w:spacing w:before="100" w:beforeAutospacing="1" w:after="100" w:afterAutospacing="1"/>
        <w:rPr>
          <w:rFonts w:ascii="ArialMT" w:eastAsia="Times New Roman" w:hAnsi="ArialMT" w:cs="Times New Roman"/>
          <w:sz w:val="20"/>
          <w:szCs w:val="20"/>
        </w:rPr>
      </w:pPr>
      <w:r w:rsidRPr="00BA3A6C">
        <w:rPr>
          <w:rFonts w:ascii="Arial" w:eastAsia="Times New Roman" w:hAnsi="Arial" w:cs="Arial"/>
          <w:b/>
          <w:bCs/>
          <w:sz w:val="20"/>
          <w:szCs w:val="20"/>
        </w:rPr>
        <w:t xml:space="preserve">Geography: </w:t>
      </w:r>
      <w:r w:rsidRPr="00BA3A6C">
        <w:rPr>
          <w:rFonts w:ascii="ArialMT" w:eastAsia="Times New Roman" w:hAnsi="ArialMT" w:cs="Times New Roman"/>
          <w:sz w:val="20"/>
          <w:szCs w:val="20"/>
        </w:rPr>
        <w:t xml:space="preserve">where the clients operate. </w:t>
      </w:r>
    </w:p>
    <w:p w14:paraId="3357DE48" w14:textId="524A5E97" w:rsidR="00C27ACA" w:rsidRPr="00BA3A6C" w:rsidRDefault="00C27ACA" w:rsidP="00C27ACA">
      <w:pPr>
        <w:numPr>
          <w:ilvl w:val="0"/>
          <w:numId w:val="1"/>
        </w:numPr>
        <w:spacing w:before="100" w:beforeAutospacing="1" w:after="100" w:afterAutospacing="1"/>
        <w:rPr>
          <w:rFonts w:ascii="ArialMT" w:eastAsia="Times New Roman" w:hAnsi="ArialMT" w:cs="Times New Roman"/>
          <w:sz w:val="20"/>
          <w:szCs w:val="20"/>
        </w:rPr>
      </w:pPr>
      <w:r w:rsidRPr="00BA3A6C">
        <w:rPr>
          <w:rFonts w:ascii="Arial" w:eastAsia="Times New Roman" w:hAnsi="Arial" w:cs="Arial"/>
          <w:b/>
          <w:bCs/>
          <w:sz w:val="20"/>
          <w:szCs w:val="20"/>
        </w:rPr>
        <w:t xml:space="preserve">Services: </w:t>
      </w:r>
      <w:r w:rsidRPr="00BA3A6C">
        <w:rPr>
          <w:rFonts w:ascii="ArialMT" w:eastAsia="Times New Roman" w:hAnsi="ArialMT" w:cs="Times New Roman"/>
          <w:sz w:val="20"/>
          <w:szCs w:val="20"/>
        </w:rPr>
        <w:t xml:space="preserve">the nature of the services that the </w:t>
      </w:r>
      <w:r w:rsidR="004C7F23">
        <w:rPr>
          <w:rFonts w:ascii="ArialMT" w:eastAsia="Times New Roman" w:hAnsi="ArialMT" w:cs="Times New Roman"/>
          <w:sz w:val="20"/>
          <w:szCs w:val="20"/>
        </w:rPr>
        <w:t>practice</w:t>
      </w:r>
      <w:r w:rsidRPr="00BA3A6C">
        <w:rPr>
          <w:rFonts w:ascii="ArialMT" w:eastAsia="Times New Roman" w:hAnsi="ArialMT" w:cs="Times New Roman"/>
          <w:sz w:val="20"/>
          <w:szCs w:val="20"/>
        </w:rPr>
        <w:t xml:space="preserve"> provide the clients. </w:t>
      </w:r>
    </w:p>
    <w:p w14:paraId="4CF74EA4" w14:textId="77777777" w:rsidR="00C27ACA" w:rsidRPr="00BA3A6C" w:rsidRDefault="00C27ACA" w:rsidP="00C27ACA">
      <w:pPr>
        <w:numPr>
          <w:ilvl w:val="0"/>
          <w:numId w:val="1"/>
        </w:numPr>
        <w:spacing w:before="100" w:beforeAutospacing="1" w:after="100" w:afterAutospacing="1"/>
        <w:rPr>
          <w:rFonts w:ascii="ArialMT" w:eastAsia="Times New Roman" w:hAnsi="ArialMT" w:cs="Times New Roman"/>
          <w:sz w:val="20"/>
          <w:szCs w:val="20"/>
        </w:rPr>
      </w:pPr>
      <w:r w:rsidRPr="00BA3A6C">
        <w:rPr>
          <w:rFonts w:ascii="Arial" w:eastAsia="Times New Roman" w:hAnsi="Arial" w:cs="Arial"/>
          <w:b/>
          <w:bCs/>
          <w:sz w:val="20"/>
          <w:szCs w:val="20"/>
        </w:rPr>
        <w:t xml:space="preserve">Transactions: </w:t>
      </w:r>
      <w:r w:rsidRPr="00BA3A6C">
        <w:rPr>
          <w:rFonts w:ascii="ArialMT" w:eastAsia="Times New Roman" w:hAnsi="ArialMT" w:cs="Times New Roman"/>
          <w:sz w:val="20"/>
          <w:szCs w:val="20"/>
        </w:rPr>
        <w:t xml:space="preserve">the nature of transactions. </w:t>
      </w:r>
    </w:p>
    <w:p w14:paraId="4690C54A" w14:textId="61DF339A" w:rsidR="00C27ACA" w:rsidRPr="00BA3A6C" w:rsidRDefault="00C27ACA" w:rsidP="00C27ACA">
      <w:pPr>
        <w:numPr>
          <w:ilvl w:val="0"/>
          <w:numId w:val="1"/>
        </w:numPr>
        <w:spacing w:before="100" w:beforeAutospacing="1" w:after="100" w:afterAutospacing="1"/>
        <w:rPr>
          <w:rFonts w:ascii="ArialMT" w:eastAsia="Times New Roman" w:hAnsi="ArialMT" w:cs="Times New Roman"/>
          <w:sz w:val="20"/>
          <w:szCs w:val="20"/>
        </w:rPr>
      </w:pPr>
      <w:r w:rsidRPr="00BA3A6C">
        <w:rPr>
          <w:rFonts w:ascii="Arial" w:eastAsia="Times New Roman" w:hAnsi="Arial" w:cs="Arial"/>
          <w:b/>
          <w:bCs/>
          <w:sz w:val="20"/>
          <w:szCs w:val="20"/>
        </w:rPr>
        <w:t xml:space="preserve">Delivery Channels: </w:t>
      </w:r>
      <w:r w:rsidRPr="00BA3A6C">
        <w:rPr>
          <w:rFonts w:ascii="ArialMT" w:eastAsia="Times New Roman" w:hAnsi="ArialMT" w:cs="Times New Roman"/>
          <w:sz w:val="20"/>
          <w:szCs w:val="20"/>
        </w:rPr>
        <w:t xml:space="preserve">the </w:t>
      </w:r>
      <w:r w:rsidR="004C7F23">
        <w:rPr>
          <w:rFonts w:ascii="ArialMT" w:eastAsia="Times New Roman" w:hAnsi="ArialMT" w:cs="Times New Roman"/>
          <w:sz w:val="20"/>
          <w:szCs w:val="20"/>
        </w:rPr>
        <w:t>practice</w:t>
      </w:r>
      <w:r w:rsidRPr="00BA3A6C">
        <w:rPr>
          <w:rFonts w:ascii="ArialMT" w:eastAsia="Times New Roman" w:hAnsi="ArialMT" w:cs="Times New Roman"/>
          <w:sz w:val="20"/>
          <w:szCs w:val="20"/>
        </w:rPr>
        <w:t xml:space="preserve">’s means of delivering services. </w:t>
      </w:r>
    </w:p>
    <w:p w14:paraId="7E5AD18D" w14:textId="02376E49" w:rsidR="00C27ACA" w:rsidRPr="00BA3A6C" w:rsidRDefault="00C27ACA" w:rsidP="00C27ACA">
      <w:pPr>
        <w:spacing w:before="100" w:beforeAutospacing="1" w:after="100" w:afterAutospacing="1"/>
        <w:rPr>
          <w:rFonts w:ascii="Times New Roman" w:eastAsia="Times New Roman" w:hAnsi="Times New Roman" w:cs="Times New Roman"/>
        </w:rPr>
      </w:pPr>
      <w:r w:rsidRPr="00BA3A6C">
        <w:rPr>
          <w:rFonts w:ascii="Arial" w:eastAsia="Times New Roman" w:hAnsi="Arial" w:cs="Arial"/>
          <w:b/>
          <w:bCs/>
          <w:sz w:val="20"/>
          <w:szCs w:val="20"/>
        </w:rPr>
        <w:t xml:space="preserve">Step </w:t>
      </w:r>
      <w:r w:rsidR="002C2579">
        <w:rPr>
          <w:rFonts w:ascii="Arial" w:eastAsia="Times New Roman" w:hAnsi="Arial" w:cs="Arial"/>
          <w:b/>
          <w:bCs/>
          <w:sz w:val="20"/>
          <w:szCs w:val="20"/>
        </w:rPr>
        <w:t>2</w:t>
      </w:r>
      <w:r w:rsidRPr="00BA3A6C">
        <w:rPr>
          <w:rFonts w:ascii="Arial" w:eastAsia="Times New Roman" w:hAnsi="Arial" w:cs="Arial"/>
          <w:b/>
          <w:bCs/>
          <w:sz w:val="20"/>
          <w:szCs w:val="20"/>
        </w:rPr>
        <w:t xml:space="preserve">: Risk Mitigation </w:t>
      </w:r>
    </w:p>
    <w:p w14:paraId="6D702AB9" w14:textId="07CE8EED" w:rsidR="005F5B01" w:rsidRDefault="00C27ACA" w:rsidP="003358BE">
      <w:pPr>
        <w:spacing w:before="100" w:beforeAutospacing="1" w:after="100" w:afterAutospacing="1"/>
        <w:rPr>
          <w:rFonts w:ascii="ArialMT" w:eastAsia="Times New Roman" w:hAnsi="ArialMT" w:cs="Times New Roman"/>
          <w:sz w:val="20"/>
          <w:szCs w:val="20"/>
        </w:rPr>
      </w:pPr>
      <w:r w:rsidRPr="00BA3A6C">
        <w:rPr>
          <w:rFonts w:ascii="ArialMT" w:eastAsia="Times New Roman" w:hAnsi="ArialMT" w:cs="Times New Roman"/>
          <w:sz w:val="20"/>
          <w:szCs w:val="20"/>
        </w:rPr>
        <w:t xml:space="preserve">In the course of the </w:t>
      </w:r>
      <w:r w:rsidR="004C7F23">
        <w:rPr>
          <w:rFonts w:ascii="ArialMT" w:eastAsia="Times New Roman" w:hAnsi="ArialMT" w:cs="Times New Roman"/>
          <w:sz w:val="20"/>
          <w:szCs w:val="20"/>
        </w:rPr>
        <w:t>practice</w:t>
      </w:r>
      <w:r w:rsidRPr="00BA3A6C">
        <w:rPr>
          <w:rFonts w:ascii="ArialMT" w:eastAsia="Times New Roman" w:hAnsi="ArialMT" w:cs="Times New Roman"/>
          <w:sz w:val="20"/>
          <w:szCs w:val="20"/>
        </w:rPr>
        <w:t xml:space="preserve">-wide risk assessment, risks may be identified which in themselves may cause concern but, with appropriate mitigation, can be managed to an acceptable level. </w:t>
      </w:r>
      <w:r w:rsidR="00B34488">
        <w:rPr>
          <w:rFonts w:ascii="ArialMT" w:eastAsia="Times New Roman" w:hAnsi="ArialMT" w:cs="Times New Roman"/>
          <w:sz w:val="20"/>
          <w:szCs w:val="20"/>
        </w:rPr>
        <w:t>If for example you identify that a cash intensive client mixing criminal cash with legitimate business takings as an area of risk, your policies and procedures should detail how you would manage this risk.</w:t>
      </w:r>
    </w:p>
    <w:p w14:paraId="1A4DD285" w14:textId="3692098A" w:rsidR="00C9406D" w:rsidRDefault="00C9406D" w:rsidP="003358BE">
      <w:pPr>
        <w:spacing w:before="100" w:beforeAutospacing="1" w:after="100" w:afterAutospacing="1"/>
        <w:rPr>
          <w:rFonts w:ascii="ArialMT" w:eastAsia="Times New Roman" w:hAnsi="ArialMT" w:cs="Times New Roman"/>
          <w:sz w:val="20"/>
          <w:szCs w:val="20"/>
        </w:rPr>
      </w:pPr>
    </w:p>
    <w:p w14:paraId="1B84C914" w14:textId="5022C4DA" w:rsidR="00C9406D" w:rsidRDefault="00C9406D" w:rsidP="003358BE">
      <w:pPr>
        <w:spacing w:before="100" w:beforeAutospacing="1" w:after="100" w:afterAutospacing="1"/>
        <w:rPr>
          <w:rFonts w:ascii="ArialMT" w:eastAsia="Times New Roman" w:hAnsi="ArialMT" w:cs="Times New Roman"/>
          <w:sz w:val="20"/>
          <w:szCs w:val="20"/>
        </w:rPr>
      </w:pPr>
    </w:p>
    <w:p w14:paraId="60E6CF10" w14:textId="11A279EC" w:rsidR="00C9406D" w:rsidRDefault="00C9406D" w:rsidP="003358BE">
      <w:pPr>
        <w:spacing w:before="100" w:beforeAutospacing="1" w:after="100" w:afterAutospacing="1"/>
        <w:rPr>
          <w:rFonts w:ascii="ArialMT" w:eastAsia="Times New Roman" w:hAnsi="ArialMT" w:cs="Times New Roman"/>
          <w:sz w:val="20"/>
          <w:szCs w:val="20"/>
        </w:rPr>
      </w:pPr>
    </w:p>
    <w:p w14:paraId="212C15CC" w14:textId="334CFC64" w:rsidR="00C9406D" w:rsidRDefault="00C9406D" w:rsidP="003358BE">
      <w:pPr>
        <w:spacing w:before="100" w:beforeAutospacing="1" w:after="100" w:afterAutospacing="1"/>
        <w:rPr>
          <w:rFonts w:ascii="ArialMT" w:eastAsia="Times New Roman" w:hAnsi="ArialMT" w:cs="Times New Roman"/>
          <w:sz w:val="20"/>
          <w:szCs w:val="20"/>
        </w:rPr>
      </w:pPr>
    </w:p>
    <w:p w14:paraId="2B7B5488" w14:textId="3566B4D5" w:rsidR="00C9406D" w:rsidRDefault="00C9406D" w:rsidP="003358BE">
      <w:pPr>
        <w:spacing w:before="100" w:beforeAutospacing="1" w:after="100" w:afterAutospacing="1"/>
        <w:rPr>
          <w:rFonts w:ascii="ArialMT" w:eastAsia="Times New Roman" w:hAnsi="ArialMT" w:cs="Times New Roman"/>
          <w:sz w:val="20"/>
          <w:szCs w:val="20"/>
        </w:rPr>
      </w:pPr>
    </w:p>
    <w:p w14:paraId="40341789" w14:textId="2977B98A" w:rsidR="00C9406D" w:rsidRDefault="00C9406D" w:rsidP="003358BE">
      <w:pPr>
        <w:spacing w:before="100" w:beforeAutospacing="1" w:after="100" w:afterAutospacing="1"/>
        <w:rPr>
          <w:rFonts w:ascii="ArialMT" w:eastAsia="Times New Roman" w:hAnsi="ArialMT" w:cs="Times New Roman"/>
          <w:sz w:val="20"/>
          <w:szCs w:val="20"/>
        </w:rPr>
      </w:pPr>
    </w:p>
    <w:p w14:paraId="7115A3A5" w14:textId="6633D9D7" w:rsidR="00C9406D" w:rsidRDefault="00C9406D" w:rsidP="003358BE">
      <w:pPr>
        <w:spacing w:before="100" w:beforeAutospacing="1" w:after="100" w:afterAutospacing="1"/>
        <w:rPr>
          <w:rFonts w:ascii="ArialMT" w:eastAsia="Times New Roman" w:hAnsi="ArialMT" w:cs="Times New Roman"/>
          <w:sz w:val="20"/>
          <w:szCs w:val="20"/>
        </w:rPr>
      </w:pPr>
    </w:p>
    <w:p w14:paraId="6E38F255" w14:textId="19B58FEE" w:rsidR="00C9406D" w:rsidRDefault="00C9406D" w:rsidP="003358BE">
      <w:pPr>
        <w:spacing w:before="100" w:beforeAutospacing="1" w:after="100" w:afterAutospacing="1"/>
        <w:rPr>
          <w:rFonts w:ascii="ArialMT" w:eastAsia="Times New Roman" w:hAnsi="ArialMT" w:cs="Times New Roman"/>
          <w:sz w:val="20"/>
          <w:szCs w:val="20"/>
        </w:rPr>
      </w:pPr>
    </w:p>
    <w:p w14:paraId="655F6A69" w14:textId="77777777" w:rsidR="00C9406D" w:rsidRPr="003358BE" w:rsidRDefault="00C9406D" w:rsidP="003358BE">
      <w:pPr>
        <w:spacing w:before="100" w:beforeAutospacing="1" w:after="100" w:afterAutospacing="1"/>
        <w:rPr>
          <w:rFonts w:ascii="ArialMT" w:eastAsia="Times New Roman" w:hAnsi="ArialMT" w:cs="Times New Roman"/>
          <w:sz w:val="20"/>
          <w:szCs w:val="20"/>
        </w:rPr>
      </w:pPr>
    </w:p>
    <w:p w14:paraId="17DEF325" w14:textId="18822CE4" w:rsidR="00C27ACA" w:rsidRDefault="00C27ACA" w:rsidP="00C27ACA"/>
    <w:p w14:paraId="5500EC23" w14:textId="77777777" w:rsidR="00C9406D" w:rsidRDefault="00C9406D" w:rsidP="00C27ACA"/>
    <w:tbl>
      <w:tblPr>
        <w:tblW w:w="966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3763"/>
        <w:gridCol w:w="706"/>
        <w:gridCol w:w="706"/>
        <w:gridCol w:w="704"/>
        <w:gridCol w:w="2938"/>
      </w:tblGrid>
      <w:tr w:rsidR="00C27ACA" w14:paraId="7F94B971" w14:textId="77777777" w:rsidTr="00413E27">
        <w:tc>
          <w:tcPr>
            <w:tcW w:w="851" w:type="dxa"/>
            <w:shd w:val="clear" w:color="auto" w:fill="BFBFBF"/>
          </w:tcPr>
          <w:p w14:paraId="5F229FEA" w14:textId="77777777" w:rsidR="00C27ACA" w:rsidRPr="002E7932" w:rsidRDefault="00C27ACA" w:rsidP="00413E27">
            <w:pPr>
              <w:pStyle w:val="BodyText"/>
              <w:rPr>
                <w:b/>
              </w:rPr>
            </w:pPr>
            <w:r>
              <w:rPr>
                <w:b/>
              </w:rPr>
              <w:lastRenderedPageBreak/>
              <w:t>1</w:t>
            </w:r>
          </w:p>
        </w:tc>
        <w:tc>
          <w:tcPr>
            <w:tcW w:w="8817" w:type="dxa"/>
            <w:gridSpan w:val="5"/>
            <w:shd w:val="clear" w:color="auto" w:fill="BFBFBF"/>
          </w:tcPr>
          <w:p w14:paraId="4E5DCD2B" w14:textId="77777777" w:rsidR="00C27ACA" w:rsidRDefault="00C27ACA" w:rsidP="00413E27">
            <w:pPr>
              <w:pStyle w:val="BodyText"/>
            </w:pPr>
            <w:r>
              <w:rPr>
                <w:b/>
              </w:rPr>
              <w:t>Practice AML Risk Assessment.</w:t>
            </w:r>
          </w:p>
        </w:tc>
      </w:tr>
      <w:tr w:rsidR="00C27ACA" w14:paraId="092AAC4D" w14:textId="77777777" w:rsidTr="00413E27">
        <w:tc>
          <w:tcPr>
            <w:tcW w:w="9668" w:type="dxa"/>
            <w:gridSpan w:val="6"/>
            <w:tcBorders>
              <w:bottom w:val="single" w:sz="4" w:space="0" w:color="auto"/>
            </w:tcBorders>
            <w:shd w:val="clear" w:color="auto" w:fill="auto"/>
          </w:tcPr>
          <w:p w14:paraId="079B278E" w14:textId="7C7C0C77" w:rsidR="00C27ACA" w:rsidRDefault="00C27ACA" w:rsidP="00413E27">
            <w:pPr>
              <w:pStyle w:val="BodyText"/>
              <w:rPr>
                <w:b/>
                <w:i/>
              </w:rPr>
            </w:pPr>
            <w:r w:rsidRPr="00456BBE">
              <w:rPr>
                <w:b/>
                <w:i/>
              </w:rPr>
              <w:t xml:space="preserve">Summary profile of </w:t>
            </w:r>
            <w:r w:rsidR="004C7F23">
              <w:rPr>
                <w:b/>
                <w:i/>
              </w:rPr>
              <w:t>practice</w:t>
            </w:r>
          </w:p>
          <w:p w14:paraId="66491DAB" w14:textId="4FD87A79" w:rsidR="00C27ACA" w:rsidRPr="004A22C5" w:rsidRDefault="004A22C5" w:rsidP="00413E27">
            <w:pPr>
              <w:pStyle w:val="BodyText"/>
              <w:rPr>
                <w:b/>
              </w:rPr>
            </w:pPr>
            <w:r w:rsidRPr="004A22C5">
              <w:rPr>
                <w:b/>
              </w:rPr>
              <w:t>(i</w:t>
            </w:r>
            <w:r w:rsidR="00C27ACA" w:rsidRPr="004A22C5">
              <w:rPr>
                <w:b/>
              </w:rPr>
              <w:t xml:space="preserve">nclude background such as structure of </w:t>
            </w:r>
            <w:r w:rsidR="004C7F23" w:rsidRPr="004A22C5">
              <w:rPr>
                <w:b/>
              </w:rPr>
              <w:t>practice</w:t>
            </w:r>
            <w:r w:rsidR="00C27ACA" w:rsidRPr="004A22C5">
              <w:rPr>
                <w:b/>
              </w:rPr>
              <w:t>, services offered, summary of types of clients acted for, geography of clients acted for, details of any special work undertaken, trust and company services provided and any other appropriate information)</w:t>
            </w:r>
          </w:p>
          <w:p w14:paraId="1E0413F9" w14:textId="77777777" w:rsidR="00C27ACA" w:rsidRDefault="00C27ACA" w:rsidP="00413E27">
            <w:pPr>
              <w:pStyle w:val="BodyText"/>
              <w:rPr>
                <w:b/>
                <w:i/>
              </w:rPr>
            </w:pPr>
          </w:p>
          <w:p w14:paraId="1D7EEBAF" w14:textId="77777777" w:rsidR="00C27ACA" w:rsidRDefault="00C27ACA" w:rsidP="00413E27">
            <w:pPr>
              <w:pStyle w:val="BodyText"/>
              <w:rPr>
                <w:b/>
                <w:i/>
              </w:rPr>
            </w:pPr>
          </w:p>
          <w:p w14:paraId="29246334" w14:textId="77777777" w:rsidR="00C27ACA" w:rsidRDefault="00C27ACA" w:rsidP="00413E27">
            <w:pPr>
              <w:pStyle w:val="BodyText"/>
              <w:rPr>
                <w:b/>
                <w:i/>
              </w:rPr>
            </w:pPr>
          </w:p>
          <w:p w14:paraId="73FE986E" w14:textId="77777777" w:rsidR="00C27ACA" w:rsidRPr="00456BBE" w:rsidRDefault="00C27ACA" w:rsidP="00413E27">
            <w:pPr>
              <w:pStyle w:val="BodyText"/>
              <w:rPr>
                <w:b/>
                <w:i/>
              </w:rPr>
            </w:pPr>
          </w:p>
        </w:tc>
      </w:tr>
      <w:tr w:rsidR="00687A9B" w14:paraId="3C4C9309" w14:textId="77777777" w:rsidTr="00687A9B">
        <w:tc>
          <w:tcPr>
            <w:tcW w:w="9668" w:type="dxa"/>
            <w:gridSpan w:val="6"/>
            <w:tcBorders>
              <w:top w:val="single" w:sz="4" w:space="0" w:color="auto"/>
              <w:left w:val="single" w:sz="4" w:space="0" w:color="auto"/>
              <w:bottom w:val="single" w:sz="4" w:space="0" w:color="auto"/>
              <w:right w:val="single" w:sz="4" w:space="0" w:color="auto"/>
            </w:tcBorders>
            <w:shd w:val="clear" w:color="auto" w:fill="auto"/>
          </w:tcPr>
          <w:p w14:paraId="34F529AD" w14:textId="77777777" w:rsidR="00687A9B" w:rsidRPr="00687A9B" w:rsidRDefault="00687A9B" w:rsidP="00BB6204">
            <w:pPr>
              <w:pStyle w:val="BodyText"/>
              <w:rPr>
                <w:b/>
                <w:i/>
              </w:rPr>
            </w:pPr>
            <w:r w:rsidRPr="00687A9B">
              <w:rPr>
                <w:b/>
                <w:i/>
              </w:rPr>
              <w:t>Based on the various considerations above which are intended to prompt considerations of areas that may be considered to be of a higher risk from a money laundering perspective, each practice is required to conclude on an overall money laundering risk assessment for the practice.  The conclusion should include a short narrative in support of the conclusion.  There are three possible risk assessments – high, medium or low.</w:t>
            </w:r>
          </w:p>
        </w:tc>
      </w:tr>
      <w:tr w:rsidR="00687A9B" w14:paraId="62A00ACB" w14:textId="77777777" w:rsidTr="00BB6204">
        <w:tc>
          <w:tcPr>
            <w:tcW w:w="851" w:type="dxa"/>
            <w:tcBorders>
              <w:bottom w:val="single" w:sz="4" w:space="0" w:color="auto"/>
            </w:tcBorders>
            <w:shd w:val="pct25" w:color="auto" w:fill="auto"/>
          </w:tcPr>
          <w:p w14:paraId="60B19B28" w14:textId="77777777" w:rsidR="00687A9B" w:rsidRPr="00C11283" w:rsidDel="00FF2A70" w:rsidRDefault="00687A9B" w:rsidP="00BB6204">
            <w:pPr>
              <w:pStyle w:val="BodyText"/>
              <w:rPr>
                <w:b/>
              </w:rPr>
            </w:pPr>
            <w:r w:rsidRPr="00C11283">
              <w:rPr>
                <w:b/>
              </w:rPr>
              <w:t>Risk</w:t>
            </w:r>
          </w:p>
        </w:tc>
        <w:tc>
          <w:tcPr>
            <w:tcW w:w="3763" w:type="dxa"/>
            <w:tcBorders>
              <w:bottom w:val="single" w:sz="4" w:space="0" w:color="auto"/>
            </w:tcBorders>
            <w:shd w:val="pct25" w:color="auto" w:fill="auto"/>
          </w:tcPr>
          <w:p w14:paraId="189A3409" w14:textId="77777777" w:rsidR="00687A9B" w:rsidRDefault="00687A9B" w:rsidP="00BB6204">
            <w:pPr>
              <w:pStyle w:val="BodyText"/>
              <w:jc w:val="left"/>
            </w:pPr>
            <w:r>
              <w:t>Circle as appropriate</w:t>
            </w:r>
          </w:p>
        </w:tc>
        <w:tc>
          <w:tcPr>
            <w:tcW w:w="706" w:type="dxa"/>
            <w:tcBorders>
              <w:bottom w:val="single" w:sz="4" w:space="0" w:color="auto"/>
            </w:tcBorders>
            <w:shd w:val="clear" w:color="auto" w:fill="auto"/>
          </w:tcPr>
          <w:p w14:paraId="6ECB0353" w14:textId="77777777" w:rsidR="00687A9B" w:rsidRPr="00C11283" w:rsidRDefault="00687A9B" w:rsidP="00BB6204">
            <w:pPr>
              <w:pStyle w:val="BodyText"/>
              <w:jc w:val="center"/>
              <w:rPr>
                <w:iCs/>
              </w:rPr>
            </w:pPr>
            <w:r w:rsidRPr="00C11283">
              <w:rPr>
                <w:iCs/>
              </w:rPr>
              <w:t>High</w:t>
            </w:r>
          </w:p>
        </w:tc>
        <w:tc>
          <w:tcPr>
            <w:tcW w:w="706" w:type="dxa"/>
            <w:tcBorders>
              <w:bottom w:val="single" w:sz="4" w:space="0" w:color="auto"/>
            </w:tcBorders>
            <w:shd w:val="clear" w:color="auto" w:fill="auto"/>
          </w:tcPr>
          <w:p w14:paraId="7D4B80FB" w14:textId="77777777" w:rsidR="00687A9B" w:rsidRPr="00C11283" w:rsidRDefault="00687A9B" w:rsidP="00BB6204">
            <w:pPr>
              <w:pStyle w:val="BodyText"/>
            </w:pPr>
            <w:r w:rsidRPr="00C11283">
              <w:t>Med</w:t>
            </w:r>
          </w:p>
        </w:tc>
        <w:tc>
          <w:tcPr>
            <w:tcW w:w="704" w:type="dxa"/>
            <w:tcBorders>
              <w:bottom w:val="single" w:sz="4" w:space="0" w:color="auto"/>
            </w:tcBorders>
            <w:shd w:val="clear" w:color="auto" w:fill="auto"/>
          </w:tcPr>
          <w:p w14:paraId="54A02ADF" w14:textId="77777777" w:rsidR="00687A9B" w:rsidRPr="00C11283" w:rsidRDefault="00687A9B" w:rsidP="00BB6204">
            <w:pPr>
              <w:pStyle w:val="BodyText"/>
            </w:pPr>
            <w:r w:rsidRPr="00C11283">
              <w:t>Low</w:t>
            </w:r>
          </w:p>
        </w:tc>
        <w:tc>
          <w:tcPr>
            <w:tcW w:w="2938" w:type="dxa"/>
            <w:tcBorders>
              <w:bottom w:val="single" w:sz="4" w:space="0" w:color="auto"/>
            </w:tcBorders>
            <w:shd w:val="pct25" w:color="auto" w:fill="auto"/>
          </w:tcPr>
          <w:p w14:paraId="1F99996F" w14:textId="77777777" w:rsidR="00687A9B" w:rsidRDefault="00687A9B" w:rsidP="00BB6204">
            <w:pPr>
              <w:pStyle w:val="BodyText"/>
            </w:pPr>
          </w:p>
        </w:tc>
      </w:tr>
      <w:tr w:rsidR="00687A9B" w14:paraId="7522E024" w14:textId="77777777" w:rsidTr="00BB6204">
        <w:tc>
          <w:tcPr>
            <w:tcW w:w="9668" w:type="dxa"/>
            <w:gridSpan w:val="6"/>
            <w:shd w:val="pct25" w:color="auto" w:fill="auto"/>
          </w:tcPr>
          <w:p w14:paraId="30CAF4EC" w14:textId="77777777" w:rsidR="00687A9B" w:rsidRPr="00C11283" w:rsidRDefault="00687A9B" w:rsidP="00BB6204">
            <w:pPr>
              <w:pStyle w:val="BodyText"/>
              <w:rPr>
                <w:b/>
              </w:rPr>
            </w:pPr>
            <w:r w:rsidRPr="00C11283">
              <w:rPr>
                <w:b/>
              </w:rPr>
              <w:t>Justification of risk assessment</w:t>
            </w:r>
            <w:r>
              <w:rPr>
                <w:b/>
              </w:rPr>
              <w:t xml:space="preserve"> and summary of any actions to be taken.</w:t>
            </w:r>
          </w:p>
        </w:tc>
      </w:tr>
      <w:tr w:rsidR="00687A9B" w14:paraId="15810F27" w14:textId="77777777" w:rsidTr="00BB6204">
        <w:tc>
          <w:tcPr>
            <w:tcW w:w="9668" w:type="dxa"/>
            <w:gridSpan w:val="6"/>
            <w:shd w:val="clear" w:color="auto" w:fill="auto"/>
          </w:tcPr>
          <w:p w14:paraId="55FDC02F" w14:textId="77777777" w:rsidR="00687A9B" w:rsidRDefault="00687A9B" w:rsidP="00BB6204">
            <w:pPr>
              <w:pStyle w:val="BodyText"/>
              <w:rPr>
                <w:rFonts w:ascii="ArialMT" w:hAnsi="ArialMT"/>
                <w:b/>
                <w:sz w:val="22"/>
                <w:szCs w:val="22"/>
              </w:rPr>
            </w:pPr>
            <w:r w:rsidRPr="00B44EBF">
              <w:rPr>
                <w:rFonts w:ascii="ArialMT" w:hAnsi="ArialMT"/>
                <w:b/>
                <w:sz w:val="22"/>
                <w:szCs w:val="22"/>
              </w:rPr>
              <w:t>Overall risk categorisation</w:t>
            </w:r>
            <w:r>
              <w:rPr>
                <w:rFonts w:ascii="ArialMT" w:hAnsi="ArialMT"/>
                <w:b/>
                <w:sz w:val="22"/>
                <w:szCs w:val="22"/>
              </w:rPr>
              <w:t>:</w:t>
            </w:r>
          </w:p>
          <w:p w14:paraId="02C2B5B4" w14:textId="77777777" w:rsidR="00687A9B" w:rsidRDefault="00687A9B" w:rsidP="00BB6204">
            <w:pPr>
              <w:pStyle w:val="NormalWeb"/>
              <w:rPr>
                <w:rFonts w:ascii="Arial" w:hAnsi="Arial" w:cs="Arial"/>
                <w:b/>
                <w:color w:val="000000"/>
                <w:sz w:val="20"/>
                <w:szCs w:val="20"/>
                <w:u w:val="single"/>
              </w:rPr>
            </w:pPr>
            <w:r w:rsidRPr="001545F9">
              <w:rPr>
                <w:rFonts w:ascii="Arial" w:hAnsi="Arial" w:cs="Arial"/>
                <w:b/>
                <w:color w:val="000000"/>
                <w:sz w:val="20"/>
                <w:szCs w:val="20"/>
                <w:u w:val="single"/>
              </w:rPr>
              <w:t>AML Online Client Risk Ratings at time of completion:</w:t>
            </w:r>
          </w:p>
          <w:p w14:paraId="02C159B7" w14:textId="77777777" w:rsidR="00687A9B" w:rsidRPr="002C2419" w:rsidRDefault="00687A9B" w:rsidP="00BB6204">
            <w:pPr>
              <w:pStyle w:val="NormalWeb"/>
              <w:rPr>
                <w:rFonts w:ascii="Arial" w:hAnsi="Arial" w:cs="Arial"/>
                <w:bCs/>
                <w:color w:val="000000"/>
                <w:sz w:val="20"/>
                <w:szCs w:val="20"/>
              </w:rPr>
            </w:pPr>
            <w:r w:rsidRPr="002C2419">
              <w:rPr>
                <w:rFonts w:ascii="Arial" w:hAnsi="Arial" w:cs="Arial"/>
                <w:bCs/>
                <w:color w:val="000000"/>
                <w:sz w:val="20"/>
                <w:szCs w:val="20"/>
              </w:rPr>
              <w:t>Number of clients on AML Online</w:t>
            </w:r>
            <w:r>
              <w:rPr>
                <w:rFonts w:ascii="Arial" w:hAnsi="Arial" w:cs="Arial"/>
                <w:bCs/>
                <w:color w:val="000000"/>
                <w:sz w:val="20"/>
                <w:szCs w:val="20"/>
              </w:rPr>
              <w:t>:</w:t>
            </w:r>
          </w:p>
          <w:p w14:paraId="4E9B721C" w14:textId="77777777" w:rsidR="00687A9B" w:rsidRPr="004C21FC" w:rsidRDefault="00687A9B" w:rsidP="00BB6204">
            <w:pPr>
              <w:pStyle w:val="NormalWeb"/>
              <w:rPr>
                <w:rFonts w:ascii="Arial" w:hAnsi="Arial" w:cs="Arial"/>
                <w:b/>
                <w:bCs/>
                <w:color w:val="000000"/>
                <w:sz w:val="20"/>
                <w:szCs w:val="20"/>
              </w:rPr>
            </w:pPr>
            <w:r w:rsidRPr="004C21FC">
              <w:rPr>
                <w:rFonts w:ascii="Arial" w:hAnsi="Arial" w:cs="Arial"/>
                <w:b/>
                <w:bCs/>
                <w:color w:val="000000"/>
                <w:sz w:val="20"/>
                <w:szCs w:val="20"/>
              </w:rPr>
              <w:t xml:space="preserve">High: </w:t>
            </w:r>
          </w:p>
          <w:p w14:paraId="3C758897" w14:textId="77777777" w:rsidR="00687A9B" w:rsidRPr="004C21FC" w:rsidRDefault="00687A9B" w:rsidP="00BB6204">
            <w:pPr>
              <w:pStyle w:val="NormalWeb"/>
              <w:rPr>
                <w:rFonts w:ascii="Arial" w:hAnsi="Arial" w:cs="Arial"/>
                <w:b/>
                <w:bCs/>
                <w:color w:val="000000"/>
                <w:sz w:val="20"/>
                <w:szCs w:val="20"/>
              </w:rPr>
            </w:pPr>
            <w:r w:rsidRPr="004C21FC">
              <w:rPr>
                <w:rFonts w:ascii="Arial" w:hAnsi="Arial" w:cs="Arial"/>
                <w:b/>
                <w:bCs/>
                <w:color w:val="000000"/>
                <w:sz w:val="20"/>
                <w:szCs w:val="20"/>
              </w:rPr>
              <w:t xml:space="preserve">Medium: </w:t>
            </w:r>
          </w:p>
          <w:p w14:paraId="0405D4B0" w14:textId="0573A677" w:rsidR="00687A9B" w:rsidRDefault="00687A9B" w:rsidP="00BB6204">
            <w:pPr>
              <w:pStyle w:val="NormalWeb"/>
              <w:rPr>
                <w:rFonts w:ascii="Arial" w:hAnsi="Arial" w:cs="Arial"/>
                <w:b/>
                <w:bCs/>
                <w:color w:val="000000"/>
                <w:sz w:val="20"/>
                <w:szCs w:val="20"/>
              </w:rPr>
            </w:pPr>
            <w:r w:rsidRPr="004C21FC">
              <w:rPr>
                <w:rFonts w:ascii="Arial" w:hAnsi="Arial" w:cs="Arial"/>
                <w:b/>
                <w:bCs/>
                <w:color w:val="000000"/>
                <w:sz w:val="20"/>
                <w:szCs w:val="20"/>
              </w:rPr>
              <w:t xml:space="preserve">Low: </w:t>
            </w:r>
          </w:p>
          <w:p w14:paraId="40C5CD44" w14:textId="4F194F2C" w:rsidR="004C21FC" w:rsidRPr="004C21FC" w:rsidRDefault="004C21FC" w:rsidP="00BB6204">
            <w:pPr>
              <w:pStyle w:val="NormalWeb"/>
              <w:rPr>
                <w:rFonts w:ascii="Arial" w:hAnsi="Arial" w:cs="Arial"/>
                <w:b/>
                <w:bCs/>
                <w:color w:val="000000"/>
                <w:sz w:val="22"/>
                <w:szCs w:val="22"/>
              </w:rPr>
            </w:pPr>
            <w:r>
              <w:rPr>
                <w:rFonts w:ascii="Arial" w:hAnsi="Arial" w:cs="Arial"/>
                <w:b/>
                <w:bCs/>
                <w:color w:val="000000"/>
                <w:sz w:val="20"/>
                <w:szCs w:val="20"/>
              </w:rPr>
              <w:t>Have you amended the system allocated AML risk ratings of any of your clients? Please clarify.</w:t>
            </w:r>
            <w:bookmarkStart w:id="0" w:name="_GoBack"/>
            <w:bookmarkEnd w:id="0"/>
          </w:p>
          <w:p w14:paraId="6EBD1084" w14:textId="77777777" w:rsidR="00687A9B" w:rsidRDefault="00687A9B" w:rsidP="00BB6204">
            <w:pPr>
              <w:pStyle w:val="BodyText"/>
            </w:pPr>
          </w:p>
          <w:p w14:paraId="662F9B13" w14:textId="77777777" w:rsidR="00687A9B" w:rsidRDefault="00687A9B" w:rsidP="00BB6204">
            <w:pPr>
              <w:pStyle w:val="BodyText"/>
            </w:pPr>
          </w:p>
          <w:p w14:paraId="4B5D234F" w14:textId="77777777" w:rsidR="00687A9B" w:rsidRDefault="00687A9B" w:rsidP="00BB6204">
            <w:pPr>
              <w:pStyle w:val="BodyText"/>
            </w:pPr>
          </w:p>
          <w:p w14:paraId="4F206DC2" w14:textId="77777777" w:rsidR="00687A9B" w:rsidRDefault="00687A9B" w:rsidP="00BB6204">
            <w:pPr>
              <w:pStyle w:val="BodyText"/>
            </w:pPr>
          </w:p>
          <w:p w14:paraId="2A1F8013" w14:textId="77777777" w:rsidR="00687A9B" w:rsidRDefault="00687A9B" w:rsidP="00BB6204">
            <w:pPr>
              <w:pStyle w:val="BodyText"/>
            </w:pPr>
          </w:p>
        </w:tc>
      </w:tr>
      <w:tr w:rsidR="00687A9B" w14:paraId="0FD72FFE" w14:textId="77777777" w:rsidTr="00BB6204">
        <w:tc>
          <w:tcPr>
            <w:tcW w:w="9668" w:type="dxa"/>
            <w:gridSpan w:val="6"/>
            <w:shd w:val="clear" w:color="auto" w:fill="auto"/>
          </w:tcPr>
          <w:p w14:paraId="132F1221" w14:textId="77777777" w:rsidR="00687A9B" w:rsidRPr="00C11283" w:rsidRDefault="00687A9B" w:rsidP="00BB6204">
            <w:pPr>
              <w:pStyle w:val="BodyText"/>
              <w:rPr>
                <w:b/>
              </w:rPr>
            </w:pPr>
            <w:r w:rsidRPr="00C11283">
              <w:rPr>
                <w:b/>
              </w:rPr>
              <w:t>Risk assessment prepared by:</w:t>
            </w:r>
          </w:p>
        </w:tc>
      </w:tr>
      <w:tr w:rsidR="00687A9B" w14:paraId="6489918A" w14:textId="77777777" w:rsidTr="00BB6204">
        <w:tc>
          <w:tcPr>
            <w:tcW w:w="9668" w:type="dxa"/>
            <w:gridSpan w:val="6"/>
            <w:shd w:val="clear" w:color="auto" w:fill="auto"/>
          </w:tcPr>
          <w:p w14:paraId="4D58D8FF" w14:textId="77777777" w:rsidR="00687A9B" w:rsidRPr="00C11283" w:rsidRDefault="00687A9B" w:rsidP="00BB6204">
            <w:pPr>
              <w:pStyle w:val="BodyText"/>
              <w:rPr>
                <w:b/>
              </w:rPr>
            </w:pPr>
            <w:r w:rsidRPr="00C11283">
              <w:rPr>
                <w:b/>
              </w:rPr>
              <w:t>Date risk assessment prepared:</w:t>
            </w:r>
          </w:p>
        </w:tc>
      </w:tr>
      <w:tr w:rsidR="00687A9B" w14:paraId="23E0D36F" w14:textId="77777777" w:rsidTr="00BB6204">
        <w:tc>
          <w:tcPr>
            <w:tcW w:w="9668" w:type="dxa"/>
            <w:gridSpan w:val="6"/>
            <w:shd w:val="clear" w:color="auto" w:fill="BFBFBF"/>
          </w:tcPr>
          <w:p w14:paraId="0CA15259" w14:textId="77777777" w:rsidR="00687A9B" w:rsidRPr="00C11283" w:rsidRDefault="00687A9B" w:rsidP="00BB6204">
            <w:pPr>
              <w:pStyle w:val="BodyText"/>
              <w:rPr>
                <w:b/>
              </w:rPr>
            </w:pPr>
          </w:p>
        </w:tc>
      </w:tr>
      <w:tr w:rsidR="00687A9B" w14:paraId="68CB9BF2" w14:textId="77777777" w:rsidTr="00BB6204">
        <w:tc>
          <w:tcPr>
            <w:tcW w:w="9668" w:type="dxa"/>
            <w:gridSpan w:val="6"/>
            <w:shd w:val="pct25" w:color="auto" w:fill="auto"/>
          </w:tcPr>
          <w:p w14:paraId="031C1E86" w14:textId="77777777" w:rsidR="00687A9B" w:rsidRPr="00C11283" w:rsidRDefault="00687A9B" w:rsidP="00BB6204">
            <w:pPr>
              <w:pStyle w:val="BodyText"/>
              <w:rPr>
                <w:b/>
              </w:rPr>
            </w:pPr>
            <w:r>
              <w:rPr>
                <w:b/>
              </w:rPr>
              <w:t>Subsequent Reviews</w:t>
            </w:r>
          </w:p>
        </w:tc>
      </w:tr>
      <w:tr w:rsidR="00687A9B" w14:paraId="085565DB" w14:textId="77777777" w:rsidTr="00BB6204">
        <w:tc>
          <w:tcPr>
            <w:tcW w:w="9668" w:type="dxa"/>
            <w:gridSpan w:val="6"/>
            <w:shd w:val="clear" w:color="auto" w:fill="auto"/>
          </w:tcPr>
          <w:p w14:paraId="662A85A1" w14:textId="77777777" w:rsidR="00687A9B" w:rsidRPr="00C11283" w:rsidRDefault="00687A9B" w:rsidP="00BB6204">
            <w:pPr>
              <w:pStyle w:val="BodyText"/>
              <w:rPr>
                <w:b/>
              </w:rPr>
            </w:pPr>
          </w:p>
        </w:tc>
      </w:tr>
      <w:tr w:rsidR="00687A9B" w14:paraId="2E742320" w14:textId="77777777" w:rsidTr="00BB6204">
        <w:tc>
          <w:tcPr>
            <w:tcW w:w="9668" w:type="dxa"/>
            <w:gridSpan w:val="6"/>
            <w:shd w:val="clear" w:color="auto" w:fill="auto"/>
          </w:tcPr>
          <w:p w14:paraId="4F313968" w14:textId="77777777" w:rsidR="00687A9B" w:rsidRPr="00C11283" w:rsidRDefault="00687A9B" w:rsidP="00BB6204">
            <w:pPr>
              <w:pStyle w:val="BodyText"/>
              <w:rPr>
                <w:b/>
              </w:rPr>
            </w:pPr>
          </w:p>
        </w:tc>
      </w:tr>
    </w:tbl>
    <w:p w14:paraId="25A1EE08" w14:textId="77777777" w:rsidR="00C27ACA" w:rsidRDefault="00C27ACA" w:rsidP="00C27ACA">
      <w:r>
        <w:lastRenderedPageBreak/>
        <w:br w:type="page"/>
      </w:r>
    </w:p>
    <w:p w14:paraId="4C2A63A6" w14:textId="77777777" w:rsidR="00C27ACA" w:rsidRDefault="00C27ACA" w:rsidP="00C27ACA">
      <w:pPr>
        <w:rPr>
          <w:rFonts w:cs="Arial"/>
        </w:rPr>
      </w:pPr>
    </w:p>
    <w:p w14:paraId="62CB3501" w14:textId="77777777" w:rsidR="00EE776A" w:rsidRDefault="004C21FC"/>
    <w:sectPr w:rsidR="00EE776A" w:rsidSect="005E0C16">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2D4169"/>
    <w:multiLevelType w:val="multilevel"/>
    <w:tmpl w:val="1F0EBE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464A41"/>
    <w:multiLevelType w:val="multilevel"/>
    <w:tmpl w:val="D2FCC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85F0FC6"/>
    <w:multiLevelType w:val="hybridMultilevel"/>
    <w:tmpl w:val="A46A05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700FAD"/>
    <w:multiLevelType w:val="multilevel"/>
    <w:tmpl w:val="328A6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8B94447"/>
    <w:multiLevelType w:val="multilevel"/>
    <w:tmpl w:val="4C4A2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D8D7791"/>
    <w:multiLevelType w:val="hybridMultilevel"/>
    <w:tmpl w:val="BE705B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ACA"/>
    <w:rsid w:val="000136C5"/>
    <w:rsid w:val="0002118A"/>
    <w:rsid w:val="00040405"/>
    <w:rsid w:val="001114AB"/>
    <w:rsid w:val="00141CE6"/>
    <w:rsid w:val="001545F9"/>
    <w:rsid w:val="001733E2"/>
    <w:rsid w:val="001B2BAB"/>
    <w:rsid w:val="002B5128"/>
    <w:rsid w:val="002C2419"/>
    <w:rsid w:val="002C2579"/>
    <w:rsid w:val="003358BE"/>
    <w:rsid w:val="00344BEA"/>
    <w:rsid w:val="00364CBF"/>
    <w:rsid w:val="00366335"/>
    <w:rsid w:val="00436209"/>
    <w:rsid w:val="004A22C5"/>
    <w:rsid w:val="004C21FC"/>
    <w:rsid w:val="004C7F23"/>
    <w:rsid w:val="004D27B8"/>
    <w:rsid w:val="004D4DEC"/>
    <w:rsid w:val="00505069"/>
    <w:rsid w:val="005E0C16"/>
    <w:rsid w:val="005F5B01"/>
    <w:rsid w:val="00624A3E"/>
    <w:rsid w:val="00624A71"/>
    <w:rsid w:val="00635E91"/>
    <w:rsid w:val="00687A9B"/>
    <w:rsid w:val="006F03D9"/>
    <w:rsid w:val="00730A7E"/>
    <w:rsid w:val="008267D2"/>
    <w:rsid w:val="00895AEC"/>
    <w:rsid w:val="00897B70"/>
    <w:rsid w:val="008A14EB"/>
    <w:rsid w:val="008E1565"/>
    <w:rsid w:val="009C7623"/>
    <w:rsid w:val="00A63F16"/>
    <w:rsid w:val="00A95FD5"/>
    <w:rsid w:val="00AF09FB"/>
    <w:rsid w:val="00AF28D3"/>
    <w:rsid w:val="00B34488"/>
    <w:rsid w:val="00B6438A"/>
    <w:rsid w:val="00C27ACA"/>
    <w:rsid w:val="00C41717"/>
    <w:rsid w:val="00C92DCE"/>
    <w:rsid w:val="00C9406D"/>
    <w:rsid w:val="00D41463"/>
    <w:rsid w:val="00D805E6"/>
    <w:rsid w:val="00D92AB5"/>
    <w:rsid w:val="00E641E5"/>
    <w:rsid w:val="00E82479"/>
    <w:rsid w:val="00EF79DF"/>
    <w:rsid w:val="00F85B7E"/>
    <w:rsid w:val="00FA1E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18C21C5"/>
  <w14:defaultImageDpi w14:val="32767"/>
  <w15:chartTrackingRefBased/>
  <w15:docId w15:val="{5B61FEAA-3438-F149-A9DA-E18C0CB70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sdException w:name="Smart Link Error" w:semiHidden="1" w:unhideWhenUsed="1"/>
  </w:latentStyles>
  <w:style w:type="paragraph" w:default="1" w:styleId="Normal">
    <w:name w:val="Normal"/>
    <w:qFormat/>
    <w:rsid w:val="00C27AC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semiHidden/>
    <w:rsid w:val="00C27ACA"/>
    <w:pPr>
      <w:spacing w:before="120" w:after="120"/>
      <w:jc w:val="both"/>
    </w:pPr>
    <w:rPr>
      <w:rFonts w:ascii="Arial" w:eastAsia="Times New Roman" w:hAnsi="Arial" w:cs="Times New Roman"/>
      <w:sz w:val="20"/>
      <w:szCs w:val="20"/>
    </w:rPr>
  </w:style>
  <w:style w:type="character" w:customStyle="1" w:styleId="BodyTextChar">
    <w:name w:val="Body Text Char"/>
    <w:basedOn w:val="DefaultParagraphFont"/>
    <w:link w:val="BodyText"/>
    <w:semiHidden/>
    <w:rsid w:val="00C27ACA"/>
    <w:rPr>
      <w:rFonts w:ascii="Arial" w:eastAsia="Times New Roman" w:hAnsi="Arial" w:cs="Times New Roman"/>
      <w:sz w:val="20"/>
      <w:szCs w:val="20"/>
    </w:rPr>
  </w:style>
  <w:style w:type="paragraph" w:styleId="NormalWeb">
    <w:name w:val="Normal (Web)"/>
    <w:basedOn w:val="Normal"/>
    <w:uiPriority w:val="99"/>
    <w:unhideWhenUsed/>
    <w:rsid w:val="00C27ACA"/>
    <w:pPr>
      <w:spacing w:before="100" w:beforeAutospacing="1" w:after="100" w:afterAutospacing="1"/>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2C257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C2579"/>
    <w:rPr>
      <w:rFonts w:ascii="Times New Roman" w:hAnsi="Times New Roman" w:cs="Times New Roman"/>
      <w:sz w:val="18"/>
      <w:szCs w:val="18"/>
    </w:rPr>
  </w:style>
  <w:style w:type="paragraph" w:styleId="ListParagraph">
    <w:name w:val="List Paragraph"/>
    <w:basedOn w:val="Normal"/>
    <w:uiPriority w:val="34"/>
    <w:qFormat/>
    <w:rsid w:val="002B51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978948">
      <w:bodyDiv w:val="1"/>
      <w:marLeft w:val="0"/>
      <w:marRight w:val="0"/>
      <w:marTop w:val="0"/>
      <w:marBottom w:val="0"/>
      <w:divBdr>
        <w:top w:val="none" w:sz="0" w:space="0" w:color="auto"/>
        <w:left w:val="none" w:sz="0" w:space="0" w:color="auto"/>
        <w:bottom w:val="none" w:sz="0" w:space="0" w:color="auto"/>
        <w:right w:val="none" w:sz="0" w:space="0" w:color="auto"/>
      </w:divBdr>
    </w:div>
    <w:div w:id="760949291">
      <w:bodyDiv w:val="1"/>
      <w:marLeft w:val="0"/>
      <w:marRight w:val="0"/>
      <w:marTop w:val="0"/>
      <w:marBottom w:val="0"/>
      <w:divBdr>
        <w:top w:val="none" w:sz="0" w:space="0" w:color="auto"/>
        <w:left w:val="none" w:sz="0" w:space="0" w:color="auto"/>
        <w:bottom w:val="none" w:sz="0" w:space="0" w:color="auto"/>
        <w:right w:val="none" w:sz="0" w:space="0" w:color="auto"/>
      </w:divBdr>
    </w:div>
    <w:div w:id="1249119760">
      <w:bodyDiv w:val="1"/>
      <w:marLeft w:val="0"/>
      <w:marRight w:val="0"/>
      <w:marTop w:val="0"/>
      <w:marBottom w:val="0"/>
      <w:divBdr>
        <w:top w:val="none" w:sz="0" w:space="0" w:color="auto"/>
        <w:left w:val="none" w:sz="0" w:space="0" w:color="auto"/>
        <w:bottom w:val="none" w:sz="0" w:space="0" w:color="auto"/>
        <w:right w:val="none" w:sz="0" w:space="0" w:color="auto"/>
      </w:divBdr>
    </w:div>
    <w:div w:id="1359165654">
      <w:bodyDiv w:val="1"/>
      <w:marLeft w:val="0"/>
      <w:marRight w:val="0"/>
      <w:marTop w:val="0"/>
      <w:marBottom w:val="0"/>
      <w:divBdr>
        <w:top w:val="none" w:sz="0" w:space="0" w:color="auto"/>
        <w:left w:val="none" w:sz="0" w:space="0" w:color="auto"/>
        <w:bottom w:val="none" w:sz="0" w:space="0" w:color="auto"/>
        <w:right w:val="none" w:sz="0" w:space="0" w:color="auto"/>
      </w:divBdr>
    </w:div>
    <w:div w:id="1549801442">
      <w:bodyDiv w:val="1"/>
      <w:marLeft w:val="0"/>
      <w:marRight w:val="0"/>
      <w:marTop w:val="0"/>
      <w:marBottom w:val="0"/>
      <w:divBdr>
        <w:top w:val="none" w:sz="0" w:space="0" w:color="auto"/>
        <w:left w:val="none" w:sz="0" w:space="0" w:color="auto"/>
        <w:bottom w:val="none" w:sz="0" w:space="0" w:color="auto"/>
        <w:right w:val="none" w:sz="0" w:space="0" w:color="auto"/>
      </w:divBdr>
    </w:div>
    <w:div w:id="1871137838">
      <w:bodyDiv w:val="1"/>
      <w:marLeft w:val="0"/>
      <w:marRight w:val="0"/>
      <w:marTop w:val="0"/>
      <w:marBottom w:val="0"/>
      <w:divBdr>
        <w:top w:val="none" w:sz="0" w:space="0" w:color="auto"/>
        <w:left w:val="none" w:sz="0" w:space="0" w:color="auto"/>
        <w:bottom w:val="none" w:sz="0" w:space="0" w:color="auto"/>
        <w:right w:val="none" w:sz="0" w:space="0" w:color="auto"/>
      </w:divBdr>
    </w:div>
    <w:div w:id="1955207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150</TotalTime>
  <Pages>5</Pages>
  <Words>771</Words>
  <Characters>4398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hardwick</dc:creator>
  <cp:keywords/>
  <dc:description/>
  <cp:lastModifiedBy>stephen hardwick</cp:lastModifiedBy>
  <cp:revision>39</cp:revision>
  <dcterms:created xsi:type="dcterms:W3CDTF">2019-03-29T11:35:00Z</dcterms:created>
  <dcterms:modified xsi:type="dcterms:W3CDTF">2019-10-08T10:36:00Z</dcterms:modified>
</cp:coreProperties>
</file>